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DC2" w:rsidRPr="00D74DC2" w:rsidRDefault="00D74DC2" w:rsidP="00D74DC2">
      <w:pPr>
        <w:tabs>
          <w:tab w:val="left" w:pos="6237"/>
        </w:tabs>
        <w:ind w:left="-567"/>
        <w:rPr>
          <w:szCs w:val="20"/>
        </w:rPr>
      </w:pPr>
      <w:bookmarkStart w:id="0" w:name="_Ref64801305"/>
      <w:bookmarkEnd w:id="0"/>
    </w:p>
    <w:p w:rsidR="00D74DC2" w:rsidRPr="00D74DC2" w:rsidRDefault="00D74DC2" w:rsidP="00D74DC2">
      <w:pPr>
        <w:tabs>
          <w:tab w:val="left" w:pos="6237"/>
        </w:tabs>
        <w:ind w:left="-567"/>
        <w:rPr>
          <w:szCs w:val="20"/>
          <w:u w:val="single"/>
        </w:rPr>
      </w:pPr>
    </w:p>
    <w:p w:rsidR="00D74DC2" w:rsidRPr="00D74DC2" w:rsidRDefault="00D74DC2" w:rsidP="00D74DC2">
      <w:pPr>
        <w:jc w:val="center"/>
        <w:outlineLvl w:val="0"/>
        <w:rPr>
          <w:szCs w:val="20"/>
          <w:u w:val="single"/>
        </w:rPr>
      </w:pPr>
    </w:p>
    <w:p w:rsidR="00D74DC2" w:rsidRPr="00D74DC2" w:rsidRDefault="00D74DC2" w:rsidP="00D74DC2">
      <w:pPr>
        <w:jc w:val="center"/>
        <w:outlineLvl w:val="0"/>
        <w:rPr>
          <w:szCs w:val="20"/>
          <w:u w:val="single"/>
        </w:rPr>
      </w:pPr>
    </w:p>
    <w:p w:rsidR="00D74DC2" w:rsidRPr="00D74DC2" w:rsidRDefault="00D74DC2" w:rsidP="00D74DC2">
      <w:pPr>
        <w:jc w:val="center"/>
        <w:outlineLvl w:val="0"/>
        <w:rPr>
          <w:szCs w:val="20"/>
          <w:u w:val="single"/>
        </w:rPr>
      </w:pPr>
    </w:p>
    <w:p w:rsidR="00D74DC2" w:rsidRPr="00D74DC2" w:rsidRDefault="00D74DC2" w:rsidP="00D74DC2">
      <w:pPr>
        <w:jc w:val="center"/>
        <w:outlineLvl w:val="0"/>
        <w:rPr>
          <w:szCs w:val="20"/>
          <w:u w:val="single"/>
        </w:rPr>
      </w:pPr>
    </w:p>
    <w:p w:rsidR="00D74DC2" w:rsidRPr="00D74DC2" w:rsidRDefault="00D74DC2" w:rsidP="00D74DC2">
      <w:pPr>
        <w:tabs>
          <w:tab w:val="left" w:pos="6237"/>
        </w:tabs>
        <w:rPr>
          <w:szCs w:val="20"/>
          <w:u w:val="single"/>
        </w:rPr>
      </w:pPr>
    </w:p>
    <w:p w:rsidR="00D74DC2" w:rsidRPr="00D74DC2" w:rsidRDefault="00D74DC2" w:rsidP="00D74DC2">
      <w:pPr>
        <w:rPr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05"/>
      </w:tblGrid>
      <w:tr w:rsidR="00D74DC2" w:rsidRPr="007B5302">
        <w:tc>
          <w:tcPr>
            <w:tcW w:w="10344" w:type="dxa"/>
          </w:tcPr>
          <w:p w:rsidR="00D74DC2" w:rsidRPr="007B5302" w:rsidRDefault="007B5302" w:rsidP="00D74DC2">
            <w:pPr>
              <w:jc w:val="center"/>
              <w:rPr>
                <w:b/>
                <w:bCs/>
                <w:caps/>
                <w:color w:val="581D74"/>
                <w:sz w:val="36"/>
              </w:rPr>
            </w:pPr>
            <w:r w:rsidRPr="007B5302">
              <w:rPr>
                <w:b/>
                <w:bCs/>
                <w:caps/>
                <w:color w:val="581D74"/>
                <w:sz w:val="36"/>
              </w:rPr>
              <w:t xml:space="preserve">Domaine </w:t>
            </w:r>
            <w:r w:rsidR="00CC1A78" w:rsidRPr="007B5302">
              <w:rPr>
                <w:b/>
                <w:bCs/>
                <w:caps/>
                <w:color w:val="581D74"/>
                <w:sz w:val="36"/>
              </w:rPr>
              <w:t>ACQU</w:t>
            </w:r>
            <w:r w:rsidRPr="007B5302">
              <w:rPr>
                <w:b/>
                <w:bCs/>
                <w:caps/>
                <w:color w:val="581D74"/>
                <w:sz w:val="36"/>
              </w:rPr>
              <w:t>Er</w:t>
            </w:r>
            <w:r>
              <w:rPr>
                <w:b/>
                <w:bCs/>
                <w:caps/>
                <w:color w:val="581D74"/>
                <w:sz w:val="36"/>
              </w:rPr>
              <w:t>eur</w:t>
            </w:r>
          </w:p>
          <w:p w:rsidR="00D74DC2" w:rsidRPr="007B5302" w:rsidRDefault="00D767E8" w:rsidP="00D74DC2">
            <w:pPr>
              <w:jc w:val="center"/>
              <w:rPr>
                <w:b/>
                <w:bCs/>
                <w:caps/>
                <w:color w:val="581D74"/>
                <w:sz w:val="26"/>
                <w:szCs w:val="20"/>
              </w:rPr>
            </w:pPr>
            <w:r>
              <w:rPr>
                <w:b/>
                <w:bCs/>
                <w:caps/>
                <w:color w:val="581D74"/>
                <w:sz w:val="26"/>
                <w:szCs w:val="20"/>
              </w:rPr>
              <w:t>Release CB2A Juin 2020</w:t>
            </w:r>
          </w:p>
          <w:p w:rsidR="00D74DC2" w:rsidRPr="007B5302" w:rsidRDefault="00D74DC2" w:rsidP="00D74DC2">
            <w:pPr>
              <w:jc w:val="center"/>
              <w:rPr>
                <w:b/>
                <w:bCs/>
                <w:caps/>
                <w:color w:val="581D74"/>
                <w:sz w:val="26"/>
                <w:szCs w:val="20"/>
              </w:rPr>
            </w:pPr>
          </w:p>
          <w:p w:rsidR="00D74DC2" w:rsidRPr="007B5302" w:rsidRDefault="00D74DC2" w:rsidP="00CC1A78">
            <w:pPr>
              <w:jc w:val="center"/>
              <w:rPr>
                <w:b/>
                <w:bCs/>
                <w:caps/>
                <w:color w:val="581D74"/>
                <w:sz w:val="26"/>
                <w:szCs w:val="20"/>
              </w:rPr>
            </w:pPr>
          </w:p>
        </w:tc>
      </w:tr>
    </w:tbl>
    <w:p w:rsidR="00D74DC2" w:rsidRPr="007B5302" w:rsidRDefault="00D74DC2" w:rsidP="00D74DC2">
      <w:pPr>
        <w:rPr>
          <w:szCs w:val="20"/>
        </w:rPr>
      </w:pPr>
    </w:p>
    <w:p w:rsidR="00D74DC2" w:rsidRPr="007B5302" w:rsidRDefault="00D74DC2" w:rsidP="00D74DC2">
      <w:pPr>
        <w:tabs>
          <w:tab w:val="left" w:pos="6237"/>
        </w:tabs>
        <w:rPr>
          <w:szCs w:val="20"/>
          <w:u w:val="single"/>
        </w:rPr>
      </w:pPr>
      <w:r w:rsidRPr="007B5302">
        <w:rPr>
          <w:szCs w:val="20"/>
          <w:u w:val="single"/>
        </w:rPr>
        <w:br w:type="page"/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536"/>
        <w:gridCol w:w="1985"/>
      </w:tblGrid>
      <w:tr w:rsidR="00023B76" w:rsidRPr="00D74DC2" w:rsidTr="00315273">
        <w:trPr>
          <w:cantSplit/>
        </w:trPr>
        <w:tc>
          <w:tcPr>
            <w:tcW w:w="9356" w:type="dxa"/>
            <w:gridSpan w:val="4"/>
            <w:shd w:val="clear" w:color="auto" w:fill="CCC0D9" w:themeFill="accent4" w:themeFillTint="66"/>
          </w:tcPr>
          <w:p w:rsidR="00023B76" w:rsidRPr="00D74DC2" w:rsidRDefault="00023B76" w:rsidP="00315273">
            <w:pPr>
              <w:jc w:val="center"/>
              <w:rPr>
                <w:b/>
                <w:szCs w:val="20"/>
              </w:rPr>
            </w:pPr>
            <w:r w:rsidRPr="00D74DC2">
              <w:rPr>
                <w:rFonts w:ascii="Arial Gras" w:hAnsi="Arial Gras"/>
                <w:b/>
                <w:szCs w:val="20"/>
              </w:rPr>
              <w:lastRenderedPageBreak/>
              <w:t>Fiche de Révision du document</w:t>
            </w:r>
          </w:p>
        </w:tc>
      </w:tr>
      <w:tr w:rsidR="00023B76" w:rsidRPr="00D74DC2" w:rsidTr="00315273">
        <w:tc>
          <w:tcPr>
            <w:tcW w:w="1418" w:type="dxa"/>
            <w:shd w:val="clear" w:color="auto" w:fill="CCC0D9" w:themeFill="accent4" w:themeFillTint="66"/>
          </w:tcPr>
          <w:p w:rsidR="00023B76" w:rsidRPr="00D74DC2" w:rsidRDefault="00023B76" w:rsidP="00315273">
            <w:pPr>
              <w:jc w:val="center"/>
              <w:rPr>
                <w:rFonts w:ascii="Arial" w:hAnsi="Arial"/>
                <w:szCs w:val="20"/>
              </w:rPr>
            </w:pPr>
            <w:r w:rsidRPr="00D74DC2">
              <w:rPr>
                <w:rFonts w:ascii="Arial" w:hAnsi="Arial"/>
                <w:b/>
                <w:szCs w:val="20"/>
              </w:rPr>
              <w:t>Version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023B76" w:rsidRPr="00D74DC2" w:rsidRDefault="00023B76" w:rsidP="00315273">
            <w:pPr>
              <w:jc w:val="center"/>
              <w:rPr>
                <w:rFonts w:ascii="Arial" w:hAnsi="Arial"/>
                <w:szCs w:val="20"/>
              </w:rPr>
            </w:pPr>
            <w:r w:rsidRPr="00D74DC2">
              <w:rPr>
                <w:rFonts w:ascii="Arial" w:hAnsi="Arial"/>
                <w:b/>
                <w:szCs w:val="20"/>
              </w:rPr>
              <w:t>Date</w:t>
            </w:r>
          </w:p>
        </w:tc>
        <w:tc>
          <w:tcPr>
            <w:tcW w:w="4536" w:type="dxa"/>
            <w:shd w:val="clear" w:color="auto" w:fill="CCC0D9" w:themeFill="accent4" w:themeFillTint="66"/>
          </w:tcPr>
          <w:p w:rsidR="00023B76" w:rsidRPr="00D74DC2" w:rsidRDefault="00023B76" w:rsidP="00315273">
            <w:pPr>
              <w:jc w:val="center"/>
              <w:rPr>
                <w:rFonts w:ascii="Arial" w:hAnsi="Arial"/>
                <w:szCs w:val="20"/>
              </w:rPr>
            </w:pPr>
            <w:r w:rsidRPr="00D74DC2">
              <w:rPr>
                <w:rFonts w:ascii="Arial" w:hAnsi="Arial"/>
                <w:b/>
                <w:szCs w:val="20"/>
              </w:rPr>
              <w:t>Description</w:t>
            </w:r>
          </w:p>
        </w:tc>
        <w:tc>
          <w:tcPr>
            <w:tcW w:w="1985" w:type="dxa"/>
            <w:shd w:val="clear" w:color="auto" w:fill="CCC0D9" w:themeFill="accent4" w:themeFillTint="66"/>
          </w:tcPr>
          <w:p w:rsidR="00023B76" w:rsidRPr="00D74DC2" w:rsidRDefault="00023B76" w:rsidP="00315273">
            <w:pPr>
              <w:jc w:val="center"/>
              <w:rPr>
                <w:rFonts w:ascii="Arial" w:hAnsi="Arial"/>
                <w:b/>
                <w:szCs w:val="20"/>
              </w:rPr>
            </w:pPr>
            <w:r w:rsidRPr="00D74DC2">
              <w:rPr>
                <w:rFonts w:ascii="Arial" w:hAnsi="Arial"/>
                <w:b/>
                <w:szCs w:val="20"/>
              </w:rPr>
              <w:t>Auteur(s)</w:t>
            </w: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1417" w:type="dxa"/>
            <w:vAlign w:val="center"/>
          </w:tcPr>
          <w:p w:rsidR="00023B76" w:rsidRPr="00D74DC2" w:rsidRDefault="00D767E8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04/2020</w:t>
            </w: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Création document</w:t>
            </w: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E. BURKOVIC</w:t>
            </w: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23B76" w:rsidRPr="00D74DC2" w:rsidTr="00315273">
        <w:tc>
          <w:tcPr>
            <w:tcW w:w="1418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23B76" w:rsidRPr="00D74DC2" w:rsidRDefault="00023B76" w:rsidP="00315273">
            <w:pPr>
              <w:keepLines/>
              <w:tabs>
                <w:tab w:val="left" w:pos="426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</w:tabs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D74DC2" w:rsidRDefault="00D74DC2" w:rsidP="00D74DC2">
      <w:pPr>
        <w:tabs>
          <w:tab w:val="left" w:pos="6237"/>
        </w:tabs>
        <w:rPr>
          <w:szCs w:val="20"/>
          <w:u w:val="single"/>
        </w:rPr>
      </w:pPr>
    </w:p>
    <w:p w:rsidR="00D138C9" w:rsidRDefault="00D138C9" w:rsidP="00D74DC2">
      <w:pPr>
        <w:tabs>
          <w:tab w:val="left" w:pos="6237"/>
        </w:tabs>
        <w:rPr>
          <w:szCs w:val="20"/>
          <w:u w:val="single"/>
        </w:rPr>
      </w:pPr>
    </w:p>
    <w:p w:rsidR="00D138C9" w:rsidRDefault="00D138C9" w:rsidP="00D74DC2">
      <w:pPr>
        <w:tabs>
          <w:tab w:val="left" w:pos="6237"/>
        </w:tabs>
        <w:rPr>
          <w:szCs w:val="20"/>
          <w:u w:val="single"/>
        </w:rPr>
      </w:pPr>
    </w:p>
    <w:p w:rsidR="00C47D80" w:rsidRDefault="00C47D80" w:rsidP="00D74DC2">
      <w:pPr>
        <w:tabs>
          <w:tab w:val="left" w:pos="6237"/>
        </w:tabs>
        <w:rPr>
          <w:szCs w:val="20"/>
        </w:rPr>
      </w:pPr>
    </w:p>
    <w:p w:rsidR="00C47D80" w:rsidRPr="00C47D80" w:rsidRDefault="00C47D80" w:rsidP="00D74DC2">
      <w:pPr>
        <w:tabs>
          <w:tab w:val="left" w:pos="6237"/>
        </w:tabs>
        <w:rPr>
          <w:szCs w:val="20"/>
        </w:rPr>
      </w:pPr>
    </w:p>
    <w:p w:rsidR="00D74DC2" w:rsidRPr="00D138C9" w:rsidRDefault="00D74DC2" w:rsidP="00D74DC2">
      <w:pPr>
        <w:tabs>
          <w:tab w:val="left" w:pos="6237"/>
        </w:tabs>
        <w:rPr>
          <w:szCs w:val="20"/>
        </w:rPr>
      </w:pPr>
      <w:r w:rsidRPr="00D138C9">
        <w:rPr>
          <w:szCs w:val="20"/>
          <w:u w:val="single"/>
        </w:rPr>
        <w:br w:type="page"/>
      </w:r>
    </w:p>
    <w:p w:rsidR="00D74DC2" w:rsidRPr="00D74DC2" w:rsidRDefault="00D74DC2" w:rsidP="00D74DC2">
      <w:pPr>
        <w:tabs>
          <w:tab w:val="left" w:pos="2268"/>
          <w:tab w:val="left" w:pos="3402"/>
        </w:tabs>
        <w:jc w:val="center"/>
        <w:rPr>
          <w:rFonts w:ascii="Verdana" w:hAnsi="Verdana"/>
          <w:b/>
          <w:bCs/>
          <w:color w:val="581D74"/>
          <w:sz w:val="26"/>
          <w:szCs w:val="20"/>
        </w:rPr>
      </w:pPr>
      <w:r w:rsidRPr="00D74DC2">
        <w:rPr>
          <w:rFonts w:ascii="Verdana" w:hAnsi="Verdana"/>
          <w:b/>
          <w:bCs/>
          <w:color w:val="581D74"/>
          <w:sz w:val="26"/>
          <w:szCs w:val="20"/>
        </w:rPr>
        <w:lastRenderedPageBreak/>
        <w:t>SOMMAIRE</w:t>
      </w:r>
    </w:p>
    <w:p w:rsidR="00D74DC2" w:rsidRPr="00D74DC2" w:rsidRDefault="00D74DC2" w:rsidP="00D74DC2">
      <w:pPr>
        <w:tabs>
          <w:tab w:val="left" w:pos="2268"/>
          <w:tab w:val="left" w:pos="3402"/>
        </w:tabs>
        <w:rPr>
          <w:rFonts w:ascii="Verdana" w:hAnsi="Verdana"/>
          <w:b/>
          <w:bCs/>
          <w:color w:val="581D74"/>
          <w:sz w:val="26"/>
          <w:szCs w:val="20"/>
        </w:rPr>
      </w:pPr>
    </w:p>
    <w:p w:rsidR="001610F0" w:rsidRDefault="00D74DC2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74DC2">
        <w:rPr>
          <w:b w:val="0"/>
          <w:bCs w:val="0"/>
          <w:caps w:val="0"/>
        </w:rPr>
        <w:fldChar w:fldCharType="begin"/>
      </w:r>
      <w:r w:rsidRPr="00D74DC2">
        <w:instrText xml:space="preserve"> TOC \t "Table Codification Nourea;9;Table Codification Racine;9;Style2;2;Style3;3;Style Style1 + Encadrement : (Simple Automatique  05 pt Épaisseu...;1" </w:instrText>
      </w:r>
      <w:r w:rsidRPr="00D74DC2">
        <w:rPr>
          <w:b w:val="0"/>
          <w:bCs w:val="0"/>
          <w:caps w:val="0"/>
        </w:rPr>
        <w:fldChar w:fldCharType="separate"/>
      </w:r>
      <w:r w:rsidR="001610F0">
        <w:rPr>
          <w:noProof/>
        </w:rPr>
        <w:t>1.</w:t>
      </w:r>
      <w:r w:rsidR="001610F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610F0">
        <w:rPr>
          <w:noProof/>
        </w:rPr>
        <w:t>Introduction et planning publication</w:t>
      </w:r>
      <w:r w:rsidR="001610F0">
        <w:rPr>
          <w:noProof/>
        </w:rPr>
        <w:tab/>
      </w:r>
      <w:r w:rsidR="001610F0">
        <w:rPr>
          <w:noProof/>
        </w:rPr>
        <w:fldChar w:fldCharType="begin"/>
      </w:r>
      <w:r w:rsidR="001610F0">
        <w:rPr>
          <w:noProof/>
        </w:rPr>
        <w:instrText xml:space="preserve"> PAGEREF _Toc43490059 \h </w:instrText>
      </w:r>
      <w:r w:rsidR="001610F0">
        <w:rPr>
          <w:noProof/>
        </w:rPr>
      </w:r>
      <w:r w:rsidR="001610F0">
        <w:rPr>
          <w:noProof/>
        </w:rPr>
        <w:fldChar w:fldCharType="separate"/>
      </w:r>
      <w:r w:rsidR="001610F0">
        <w:rPr>
          <w:noProof/>
        </w:rPr>
        <w:t>4</w:t>
      </w:r>
      <w:r w:rsidR="001610F0">
        <w:rPr>
          <w:noProof/>
        </w:rPr>
        <w:fldChar w:fldCharType="end"/>
      </w:r>
    </w:p>
    <w:p w:rsidR="001610F0" w:rsidRDefault="001610F0">
      <w:pPr>
        <w:pStyle w:val="TM2"/>
        <w:tabs>
          <w:tab w:val="left" w:pos="880"/>
          <w:tab w:val="righ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Périmètre de la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0F0" w:rsidRDefault="001610F0">
      <w:pPr>
        <w:pStyle w:val="TM2"/>
        <w:tabs>
          <w:tab w:val="left" w:pos="880"/>
          <w:tab w:val="righ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Publications FrenchSys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Gestion du PAR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B2FC3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B2FC3">
        <w:rPr>
          <w:noProof/>
        </w:rPr>
        <w:t>Gestion sans-contact sur les DAC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Evolutions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B2FC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B2FC3">
        <w:rPr>
          <w:noProof/>
        </w:rPr>
        <w:t>Identification et chainage des transactions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B2FC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5B2FC3">
        <w:rPr>
          <w:noProof/>
        </w:rPr>
        <w:t>Fin de l’impression systématique des tickets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10F0" w:rsidRDefault="001610F0">
      <w:pPr>
        <w:pStyle w:val="TM1"/>
        <w:tabs>
          <w:tab w:val="left" w:pos="400"/>
          <w:tab w:val="right" w:pos="101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Evolutions paramétrage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10F0" w:rsidRDefault="001610F0">
      <w:pPr>
        <w:pStyle w:val="TM2"/>
        <w:tabs>
          <w:tab w:val="left" w:pos="880"/>
          <w:tab w:val="righ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B2FC3">
        <w:rPr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B2FC3">
        <w:rPr>
          <w:noProof/>
        </w:rPr>
        <w:t>Evolutions dans les tables EMV et Nexo diffusées en juin 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10F0" w:rsidRDefault="001610F0">
      <w:pPr>
        <w:pStyle w:val="TM2"/>
        <w:tabs>
          <w:tab w:val="left" w:pos="880"/>
          <w:tab w:val="righ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5B2FC3">
        <w:rPr>
          <w:noProof/>
        </w:rPr>
        <w:t>7.2.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5B2FC3">
        <w:rPr>
          <w:noProof/>
        </w:rPr>
        <w:t>Evolution concernant la priorité dans la table EMV des 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10F0" w:rsidRDefault="001610F0">
      <w:pPr>
        <w:pStyle w:val="TM2"/>
        <w:tabs>
          <w:tab w:val="left" w:pos="880"/>
          <w:tab w:val="right" w:pos="101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Suppression réseau préférentiel du flux Plages CNFFH55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4DC2" w:rsidRPr="00D74DC2" w:rsidRDefault="00D74DC2" w:rsidP="00D74DC2">
      <w:pPr>
        <w:tabs>
          <w:tab w:val="left" w:pos="2626"/>
        </w:tabs>
        <w:ind w:left="1600"/>
        <w:rPr>
          <w:sz w:val="18"/>
          <w:szCs w:val="18"/>
        </w:rPr>
      </w:pPr>
      <w:r w:rsidRPr="00D74DC2">
        <w:rPr>
          <w:b/>
          <w:bCs/>
          <w:caps/>
          <w:sz w:val="18"/>
          <w:szCs w:val="18"/>
        </w:rPr>
        <w:fldChar w:fldCharType="end"/>
      </w:r>
    </w:p>
    <w:p w:rsidR="00D74DC2" w:rsidRPr="00D74DC2" w:rsidRDefault="00D74DC2" w:rsidP="00D74DC2">
      <w:pPr>
        <w:tabs>
          <w:tab w:val="left" w:pos="2626"/>
        </w:tabs>
        <w:ind w:left="1600"/>
        <w:rPr>
          <w:sz w:val="18"/>
          <w:szCs w:val="18"/>
        </w:rPr>
      </w:pPr>
      <w:r w:rsidRPr="00D74DC2">
        <w:rPr>
          <w:sz w:val="18"/>
          <w:szCs w:val="18"/>
        </w:rPr>
        <w:br w:type="page"/>
      </w:r>
    </w:p>
    <w:p w:rsidR="00D767E8" w:rsidRDefault="00446360" w:rsidP="00446360">
      <w:pPr>
        <w:pStyle w:val="StyleStyle1EncadrementSimpleAutomatique05ptpaisseu"/>
      </w:pPr>
      <w:bookmarkStart w:id="1" w:name="_Toc43490059"/>
      <w:r>
        <w:lastRenderedPageBreak/>
        <w:t>Introduction et planning publication</w:t>
      </w:r>
      <w:bookmarkEnd w:id="1"/>
    </w:p>
    <w:p w:rsidR="00446360" w:rsidRDefault="00446360" w:rsidP="00C47D80"/>
    <w:p w:rsidR="00446360" w:rsidRDefault="00446360" w:rsidP="00446360">
      <w:r>
        <w:t xml:space="preserve">La date exacte communiquée lors du COPAC FrenchSys du 18/06 est la suivante : </w:t>
      </w:r>
    </w:p>
    <w:p w:rsidR="00446360" w:rsidRDefault="00446360" w:rsidP="00446360">
      <w:r>
        <w:t>-</w:t>
      </w:r>
      <w:r>
        <w:tab/>
        <w:t>Publication des fiches d’évolution CB2A le 30/06</w:t>
      </w:r>
    </w:p>
    <w:p w:rsidR="00446360" w:rsidRDefault="00446360" w:rsidP="00446360">
      <w:r>
        <w:t>-</w:t>
      </w:r>
      <w:r>
        <w:tab/>
        <w:t>Edition version finale CB2A du 15/07</w:t>
      </w:r>
    </w:p>
    <w:p w:rsidR="00446360" w:rsidRDefault="00446360" w:rsidP="00446360">
      <w:r>
        <w:t>La version indiquée est une version CB2A 1.6.1</w:t>
      </w:r>
    </w:p>
    <w:p w:rsidR="00446360" w:rsidRDefault="00446360" w:rsidP="00446360">
      <w:r>
        <w:t>Je rappelle que c’est cette version finale et non les FE qui fait foi et devra être mise en œuvre sur les briques applicatives SAA et MOCA/SMP.</w:t>
      </w:r>
    </w:p>
    <w:p w:rsidR="00446360" w:rsidRDefault="00446360" w:rsidP="00446360"/>
    <w:p w:rsidR="001610F0" w:rsidRDefault="00315273" w:rsidP="001610F0">
      <w:r>
        <w:t xml:space="preserve">Le release s’accompagne également </w:t>
      </w:r>
      <w:r w:rsidR="001610F0">
        <w:t xml:space="preserve">d’évolution du service paramétrage </w:t>
      </w:r>
      <w:r w:rsidR="001610F0">
        <w:t>pour mettre en œuvre la neutralité FrenchSys</w:t>
      </w:r>
      <w:r w:rsidR="001610F0">
        <w:t>.</w:t>
      </w:r>
    </w:p>
    <w:p w:rsidR="001610F0" w:rsidRDefault="001610F0" w:rsidP="001610F0">
      <w:r>
        <w:t xml:space="preserve">Le réseau préférentiel ne sera plus géré dans les tables EMV AID et dans le référentiel plage </w:t>
      </w:r>
      <w:r>
        <w:t>dès la release d’octobre 2020.</w:t>
      </w:r>
    </w:p>
    <w:p w:rsidR="001610F0" w:rsidRDefault="001610F0" w:rsidP="00446360"/>
    <w:p w:rsidR="00446360" w:rsidRDefault="00446360" w:rsidP="00446360"/>
    <w:p w:rsidR="00446360" w:rsidRDefault="00446360" w:rsidP="00446360">
      <w:pPr>
        <w:pStyle w:val="Style2"/>
      </w:pPr>
      <w:bookmarkStart w:id="2" w:name="_Toc43490060"/>
      <w:proofErr w:type="spellStart"/>
      <w:r w:rsidRPr="00446360">
        <w:t>Périmètre</w:t>
      </w:r>
      <w:proofErr w:type="spellEnd"/>
      <w:r w:rsidRPr="00446360">
        <w:t xml:space="preserve"> de </w:t>
      </w:r>
      <w:r w:rsidR="007C62DF">
        <w:t>la</w:t>
      </w:r>
      <w:r w:rsidRPr="00446360">
        <w:t xml:space="preserve"> release</w:t>
      </w:r>
      <w:bookmarkEnd w:id="2"/>
    </w:p>
    <w:p w:rsidR="00446360" w:rsidRPr="00446360" w:rsidRDefault="00446360" w:rsidP="00446360">
      <w:pPr>
        <w:rPr>
          <w:lang w:val="en-GB"/>
        </w:rPr>
      </w:pP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>Chaînage d’opérations = Mise en place d’identifiants permettant de relier pour chainer l’autorisation à la compensation et des transactions entre elles</w:t>
      </w: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>PAR = Mise en place des évolutions pour gérer le PAR présent dans la puce = Gestion du tag EMV 9F24 (PAR) présent sur une carte physique ou digitalisée</w:t>
      </w: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>Message à destination de l’initiateur de la transaction = nouveau champ pour permettre à l’émetteur de transmettre au système d’acceptation un message de 100 caractères à afficher/imprimer au porteur/accepteur.</w:t>
      </w:r>
    </w:p>
    <w:p w:rsidR="00446360" w:rsidRDefault="00446360" w:rsidP="00446360">
      <w:pPr>
        <w:pStyle w:val="Paragraphedeliste"/>
        <w:numPr>
          <w:ilvl w:val="0"/>
          <w:numId w:val="40"/>
        </w:numPr>
      </w:pPr>
      <w:r>
        <w:t>Paiement sans-contact en Single-</w:t>
      </w:r>
      <w:proofErr w:type="spellStart"/>
      <w:r>
        <w:t>Tap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 online PIN) = Mise en place d’une cinématique de paiement au point d’acceptation</w:t>
      </w:r>
    </w:p>
    <w:p w:rsidR="00446360" w:rsidRDefault="00446360" w:rsidP="00446360">
      <w:pPr>
        <w:pStyle w:val="Paragraphedeliste"/>
        <w:numPr>
          <w:ilvl w:val="0"/>
          <w:numId w:val="40"/>
        </w:numPr>
      </w:pPr>
      <w:r>
        <w:t>Gestion ticket = suppression de l’impression systématique et amélioration des tickets commerçants :</w:t>
      </w:r>
    </w:p>
    <w:p w:rsidR="00446360" w:rsidRDefault="00446360" w:rsidP="00446360">
      <w:pPr>
        <w:pStyle w:val="Paragraphedeliste"/>
        <w:numPr>
          <w:ilvl w:val="1"/>
          <w:numId w:val="40"/>
        </w:numPr>
      </w:pPr>
      <w:r>
        <w:t>Ticket TNA pour afficher « MOTIF TNA » avec 5 motifs maximum</w:t>
      </w:r>
    </w:p>
    <w:p w:rsidR="00446360" w:rsidRDefault="00446360" w:rsidP="00446360">
      <w:pPr>
        <w:pStyle w:val="Paragraphedeliste"/>
        <w:numPr>
          <w:ilvl w:val="1"/>
          <w:numId w:val="40"/>
        </w:numPr>
      </w:pPr>
      <w:r>
        <w:t>Ticket de télécollecte pour afficher le nombre de TNA remisées sur un ticket de TLC</w:t>
      </w:r>
    </w:p>
    <w:p w:rsidR="00446360" w:rsidRDefault="00446360" w:rsidP="00446360">
      <w:pPr>
        <w:pStyle w:val="Paragraphedeliste"/>
        <w:numPr>
          <w:ilvl w:val="1"/>
          <w:numId w:val="40"/>
        </w:numPr>
      </w:pPr>
      <w:r>
        <w:t xml:space="preserve">Ticket de télécollecte et de </w:t>
      </w:r>
      <w:proofErr w:type="spellStart"/>
      <w:r>
        <w:t>téléparamétrage</w:t>
      </w:r>
      <w:proofErr w:type="spellEnd"/>
      <w:r>
        <w:t xml:space="preserve"> : afficher systématiquement SIRET et Numérologique</w:t>
      </w:r>
    </w:p>
    <w:p w:rsidR="00446360" w:rsidRDefault="00446360" w:rsidP="00446360">
      <w:pPr>
        <w:pStyle w:val="Paragraphedeliste"/>
        <w:numPr>
          <w:ilvl w:val="1"/>
          <w:numId w:val="40"/>
        </w:numPr>
      </w:pPr>
      <w:r>
        <w:t>Fin de l’impression systématique du ticket de paiement sauf demande explicite du client</w:t>
      </w: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>Service DAC sans-contact</w:t>
      </w: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 xml:space="preserve">Service Transfert de fond = Introduction un nouvel applicatif </w:t>
      </w:r>
      <w:proofErr w:type="spellStart"/>
      <w:r>
        <w:t>TdF</w:t>
      </w:r>
      <w:proofErr w:type="spellEnd"/>
      <w:r>
        <w:t xml:space="preserve"> Débit dans le MPE et le MPA</w:t>
      </w:r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 xml:space="preserve">Formalisation des mécanismes de </w:t>
      </w:r>
      <w:proofErr w:type="spellStart"/>
      <w:r>
        <w:t>Téléinstanciation</w:t>
      </w:r>
      <w:proofErr w:type="spellEnd"/>
    </w:p>
    <w:p w:rsidR="00446360" w:rsidRDefault="00446360" w:rsidP="00315273">
      <w:pPr>
        <w:pStyle w:val="Paragraphedeliste"/>
        <w:numPr>
          <w:ilvl w:val="0"/>
          <w:numId w:val="40"/>
        </w:numPr>
      </w:pPr>
      <w:r>
        <w:t>Cohabitation CB5.5 / V6</w:t>
      </w:r>
    </w:p>
    <w:p w:rsidR="00446360" w:rsidRDefault="00446360" w:rsidP="00446360"/>
    <w:p w:rsidR="00446360" w:rsidRDefault="00446360" w:rsidP="00446360"/>
    <w:p w:rsidR="00446360" w:rsidRDefault="00446360" w:rsidP="00446360">
      <w:r>
        <w:t>Parmi ces évolutions voici celles où sont identifiés des impacts protocoles CB2A ; les autres étant principalement des évolutions des manuels de paiements.</w:t>
      </w:r>
    </w:p>
    <w:p w:rsidR="00446360" w:rsidRDefault="00446360" w:rsidP="00446360">
      <w:pPr>
        <w:pStyle w:val="Paragraphedeliste"/>
        <w:numPr>
          <w:ilvl w:val="0"/>
          <w:numId w:val="41"/>
        </w:numPr>
      </w:pPr>
      <w:r>
        <w:t xml:space="preserve">Chaînage d’opérations </w:t>
      </w:r>
    </w:p>
    <w:p w:rsidR="00446360" w:rsidRDefault="00446360" w:rsidP="00446360">
      <w:pPr>
        <w:pStyle w:val="Paragraphedeliste"/>
        <w:numPr>
          <w:ilvl w:val="0"/>
          <w:numId w:val="41"/>
        </w:numPr>
      </w:pPr>
      <w:r>
        <w:t xml:space="preserve">PAR </w:t>
      </w:r>
    </w:p>
    <w:p w:rsidR="00315273" w:rsidRDefault="00446360" w:rsidP="00446360">
      <w:pPr>
        <w:pStyle w:val="Paragraphedeliste"/>
        <w:numPr>
          <w:ilvl w:val="0"/>
          <w:numId w:val="41"/>
        </w:numPr>
      </w:pPr>
      <w:r>
        <w:t xml:space="preserve">Message à destination de l’initiateur de la transaction </w:t>
      </w:r>
    </w:p>
    <w:p w:rsidR="00446360" w:rsidRDefault="00315273" w:rsidP="00315273">
      <w:pPr>
        <w:pStyle w:val="Paragraphedeliste"/>
        <w:ind w:left="360"/>
      </w:pPr>
      <w:r>
        <w:t>Aménagement d’un service existant avec un nouveau champ – surtout utilisé par les TRD</w:t>
      </w:r>
    </w:p>
    <w:p w:rsidR="00315273" w:rsidRDefault="00446360" w:rsidP="00446360">
      <w:pPr>
        <w:pStyle w:val="Paragraphedeliste"/>
        <w:numPr>
          <w:ilvl w:val="0"/>
          <w:numId w:val="41"/>
        </w:numPr>
      </w:pPr>
      <w:r>
        <w:t>Paiement sans-contact en Single-</w:t>
      </w:r>
      <w:proofErr w:type="spellStart"/>
      <w:r>
        <w:t>Tap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 online PIN) </w:t>
      </w:r>
    </w:p>
    <w:p w:rsidR="00446360" w:rsidRDefault="00446360" w:rsidP="00315273">
      <w:pPr>
        <w:pStyle w:val="Paragraphedeliste"/>
        <w:ind w:left="360"/>
      </w:pPr>
      <w:r>
        <w:t xml:space="preserve">=&gt; </w:t>
      </w:r>
      <w:r w:rsidRPr="00315273">
        <w:rPr>
          <w:b/>
          <w:bCs/>
        </w:rPr>
        <w:t>IMPORTANT</w:t>
      </w:r>
      <w:r>
        <w:t xml:space="preserve"> : ce point est intégré dans ma demande gestion PIN Online</w:t>
      </w:r>
      <w:r w:rsidR="00315273">
        <w:t xml:space="preserve"> (voir EDB PIN ONLINE)</w:t>
      </w:r>
    </w:p>
    <w:p w:rsidR="00446360" w:rsidRDefault="00446360" w:rsidP="00446360">
      <w:pPr>
        <w:pStyle w:val="Paragraphedeliste"/>
        <w:numPr>
          <w:ilvl w:val="0"/>
          <w:numId w:val="41"/>
        </w:numPr>
      </w:pPr>
      <w:r>
        <w:t xml:space="preserve">Gestion ticket   </w:t>
      </w:r>
    </w:p>
    <w:p w:rsidR="00446360" w:rsidRDefault="00446360" w:rsidP="00446360">
      <w:pPr>
        <w:pStyle w:val="Paragraphedeliste"/>
        <w:numPr>
          <w:ilvl w:val="0"/>
          <w:numId w:val="41"/>
        </w:numPr>
      </w:pPr>
      <w:r>
        <w:t>Service DAC sans-contact</w:t>
      </w:r>
    </w:p>
    <w:p w:rsidR="00446360" w:rsidRDefault="00446360" w:rsidP="00446360">
      <w:pPr>
        <w:pStyle w:val="Paragraphedeliste"/>
        <w:numPr>
          <w:ilvl w:val="0"/>
          <w:numId w:val="41"/>
        </w:numPr>
      </w:pPr>
      <w:r>
        <w:t>Service Transfert de fond</w:t>
      </w:r>
      <w:r w:rsidR="00315273">
        <w:t xml:space="preserve"> (pas de besoin NPS pour l’instant sur ce service)</w:t>
      </w:r>
    </w:p>
    <w:p w:rsidR="00446360" w:rsidRDefault="00446360" w:rsidP="00446360"/>
    <w:p w:rsidR="00446360" w:rsidRDefault="00446360" w:rsidP="00446360"/>
    <w:p w:rsidR="001610F0" w:rsidRDefault="001610F0">
      <w:pPr>
        <w:rPr>
          <w:rFonts w:ascii="Arial Gras" w:hAnsi="Arial Gras" w:cs="Arial"/>
          <w:b/>
          <w:bCs/>
          <w:smallCaps/>
          <w:color w:val="7030A0"/>
          <w:szCs w:val="20"/>
          <w:lang w:val="en-GB"/>
        </w:rPr>
      </w:pPr>
      <w:r>
        <w:br w:type="page"/>
      </w:r>
    </w:p>
    <w:p w:rsidR="00446360" w:rsidRDefault="00446360" w:rsidP="00446360">
      <w:pPr>
        <w:pStyle w:val="Style2"/>
      </w:pPr>
      <w:bookmarkStart w:id="3" w:name="_Toc43490061"/>
      <w:r>
        <w:lastRenderedPageBreak/>
        <w:t>Publications FrenchSys</w:t>
      </w:r>
      <w:bookmarkEnd w:id="3"/>
      <w:r>
        <w:t xml:space="preserve"> </w:t>
      </w:r>
    </w:p>
    <w:p w:rsidR="00446360" w:rsidRDefault="00446360" w:rsidP="00446360"/>
    <w:p w:rsidR="00446360" w:rsidRPr="00446360" w:rsidRDefault="00446360" w:rsidP="00446360">
      <w:pPr>
        <w:rPr>
          <w:b/>
          <w:bCs/>
        </w:rPr>
      </w:pPr>
      <w:r w:rsidRPr="00446360">
        <w:rPr>
          <w:b/>
          <w:bCs/>
        </w:rPr>
        <w:t>CB2A Autorisation Version 1.6.1</w:t>
      </w:r>
    </w:p>
    <w:p w:rsidR="00446360" w:rsidRDefault="00446360" w:rsidP="00446360">
      <w:pPr>
        <w:pStyle w:val="Paragraphedeliste"/>
        <w:numPr>
          <w:ilvl w:val="0"/>
          <w:numId w:val="43"/>
        </w:numPr>
      </w:pPr>
      <w:r>
        <w:t>Nouveau champ 119 en LL2VAR b…999 avec 3 sous-champs :</w:t>
      </w:r>
    </w:p>
    <w:p w:rsidR="00446360" w:rsidRDefault="00315273" w:rsidP="00315273">
      <w:pPr>
        <w:pStyle w:val="Paragraphedeliste"/>
        <w:numPr>
          <w:ilvl w:val="0"/>
          <w:numId w:val="42"/>
        </w:numPr>
      </w:pPr>
      <w:r>
        <w:t xml:space="preserve">En </w:t>
      </w:r>
      <w:r w:rsidR="00446360">
        <w:t>e-commerce : un indicateur d’indisponibilité du serveur 3D</w:t>
      </w:r>
    </w:p>
    <w:p w:rsidR="00446360" w:rsidRDefault="00315273" w:rsidP="00315273">
      <w:pPr>
        <w:pStyle w:val="Paragraphedeliste"/>
        <w:numPr>
          <w:ilvl w:val="0"/>
          <w:numId w:val="42"/>
        </w:numPr>
      </w:pPr>
      <w:r>
        <w:t xml:space="preserve">Pour </w:t>
      </w:r>
      <w:r w:rsidR="00446360">
        <w:t xml:space="preserve">TRD : un nouveau champ message 47.9A à transmettre à l’initiateur si le message est trop long pour le champ existant </w:t>
      </w:r>
      <w:proofErr w:type="gramStart"/>
      <w:r w:rsidR="00446360">
        <w:t>44.BC</w:t>
      </w:r>
      <w:proofErr w:type="gramEnd"/>
    </w:p>
    <w:p w:rsidR="00446360" w:rsidRDefault="00446360" w:rsidP="00315273">
      <w:pPr>
        <w:pStyle w:val="Paragraphedeliste"/>
        <w:numPr>
          <w:ilvl w:val="0"/>
          <w:numId w:val="42"/>
        </w:numPr>
      </w:pPr>
      <w:r>
        <w:t>Chaînage des crédits : référence de la transaction de débit d’origine</w:t>
      </w:r>
    </w:p>
    <w:p w:rsidR="00446360" w:rsidRDefault="00446360" w:rsidP="00446360">
      <w:r>
        <w:t>-</w:t>
      </w:r>
      <w:r>
        <w:tab/>
        <w:t>Nouvelles valeurs dans les champs existants pour les autres évolutions MPE/MPA/MPAT/MPADS</w:t>
      </w:r>
    </w:p>
    <w:p w:rsidR="00446360" w:rsidRDefault="00446360" w:rsidP="00446360">
      <w:pPr>
        <w:pStyle w:val="Paragraphedeliste"/>
        <w:numPr>
          <w:ilvl w:val="0"/>
          <w:numId w:val="43"/>
        </w:numPr>
      </w:pPr>
      <w:r>
        <w:t>Modifications éditoriales</w:t>
      </w:r>
    </w:p>
    <w:p w:rsidR="00446360" w:rsidRDefault="00446360" w:rsidP="00446360"/>
    <w:p w:rsidR="00446360" w:rsidRPr="00446360" w:rsidRDefault="00446360" w:rsidP="00446360">
      <w:pPr>
        <w:rPr>
          <w:b/>
          <w:bCs/>
        </w:rPr>
      </w:pPr>
      <w:r w:rsidRPr="00446360">
        <w:rPr>
          <w:b/>
          <w:bCs/>
        </w:rPr>
        <w:t>CB2A TLC-TLP-GR et Fichier Version 1.6.1</w:t>
      </w:r>
    </w:p>
    <w:p w:rsidR="00446360" w:rsidRDefault="00446360" w:rsidP="00446360">
      <w:pPr>
        <w:pStyle w:val="Paragraphedeliste"/>
        <w:numPr>
          <w:ilvl w:val="0"/>
          <w:numId w:val="44"/>
        </w:numPr>
      </w:pPr>
      <w:r>
        <w:t>Nouvelles valeurs dans les champs existants pour les évolutions MPE/MPA/MPAT/MPADS</w:t>
      </w:r>
    </w:p>
    <w:p w:rsidR="00446360" w:rsidRDefault="00446360" w:rsidP="00446360">
      <w:pPr>
        <w:pStyle w:val="Paragraphedeliste"/>
        <w:numPr>
          <w:ilvl w:val="0"/>
          <w:numId w:val="44"/>
        </w:numPr>
      </w:pPr>
      <w:r>
        <w:t>Modifications éditoriales</w:t>
      </w:r>
    </w:p>
    <w:p w:rsidR="00446360" w:rsidRDefault="00446360" w:rsidP="00446360"/>
    <w:p w:rsidR="00446360" w:rsidRDefault="00446360" w:rsidP="00446360">
      <w:r>
        <w:t>Pour information, les premiers TPE conformes aux spécifications V6 ont passé les agréments.</w:t>
      </w:r>
    </w:p>
    <w:p w:rsidR="00446360" w:rsidRDefault="00446360" w:rsidP="00446360">
      <w:r>
        <w:t>Les suivants sont attendus sur l’été 2020</w:t>
      </w:r>
    </w:p>
    <w:p w:rsidR="00446360" w:rsidRDefault="00446360" w:rsidP="00C47D80"/>
    <w:p w:rsidR="001610F0" w:rsidRPr="001610F0" w:rsidRDefault="001610F0" w:rsidP="00C47D80">
      <w:pPr>
        <w:rPr>
          <w:b/>
          <w:bCs/>
        </w:rPr>
      </w:pPr>
      <w:r w:rsidRPr="001610F0">
        <w:rPr>
          <w:b/>
          <w:bCs/>
        </w:rPr>
        <w:t xml:space="preserve">Release octobre 2020 SICB </w:t>
      </w:r>
    </w:p>
    <w:p w:rsidR="001610F0" w:rsidRDefault="001610F0" w:rsidP="00C47D80">
      <w:r>
        <w:t>Cette release portera les évolutions du service paramétrage.</w:t>
      </w:r>
    </w:p>
    <w:p w:rsidR="001610F0" w:rsidRDefault="001610F0" w:rsidP="00C47D80">
      <w:r>
        <w:t>Ces évolutions impliquent de forts impacts sur les SI Acquéreur qu’il faut analyser et prendre en charge rapidement.</w:t>
      </w:r>
    </w:p>
    <w:p w:rsidR="001610F0" w:rsidRDefault="001610F0" w:rsidP="00C47D80"/>
    <w:p w:rsidR="00446360" w:rsidRDefault="00446360" w:rsidP="00C47D80"/>
    <w:p w:rsidR="00315273" w:rsidRDefault="00315273" w:rsidP="00C47D80"/>
    <w:p w:rsidR="00315273" w:rsidRDefault="00315273" w:rsidP="00315273">
      <w:pPr>
        <w:pStyle w:val="StyleStyle1EncadrementSimpleAutomatique05ptpaisseu"/>
      </w:pPr>
      <w:bookmarkStart w:id="4" w:name="_Toc43490062"/>
      <w:r>
        <w:t>Gestion du PAR</w:t>
      </w:r>
      <w:bookmarkEnd w:id="4"/>
    </w:p>
    <w:p w:rsidR="00315273" w:rsidRDefault="00315273" w:rsidP="00C47D80"/>
    <w:p w:rsidR="00315273" w:rsidRDefault="00315273" w:rsidP="00315273">
      <w:r>
        <w:t>Le PAR est introduit dans la puce par l’émetteur. Il est géré dans tag EMV 9F24 (PAR) présent sur une carte physique ou digitalisée.</w:t>
      </w:r>
    </w:p>
    <w:p w:rsidR="00315273" w:rsidRDefault="00315273" w:rsidP="00315273">
      <w:r>
        <w:t>Impacts :</w:t>
      </w:r>
    </w:p>
    <w:p w:rsidR="00315273" w:rsidRDefault="00315273" w:rsidP="00315273">
      <w:pPr>
        <w:pStyle w:val="Paragraphedeliste"/>
        <w:numPr>
          <w:ilvl w:val="0"/>
          <w:numId w:val="48"/>
        </w:numPr>
      </w:pPr>
      <w:r>
        <w:t xml:space="preserve">Lecture du tag EMV 9F24 par le système d’acceptation du commerçant dans les environnements contact, sans-contact, </w:t>
      </w:r>
      <w:proofErr w:type="spellStart"/>
      <w:r>
        <w:t>wallet</w:t>
      </w:r>
      <w:proofErr w:type="spellEnd"/>
      <w:r>
        <w:t xml:space="preserve"> de proximité.</w:t>
      </w:r>
    </w:p>
    <w:p w:rsidR="00315273" w:rsidRDefault="00315273" w:rsidP="00315273">
      <w:pPr>
        <w:pStyle w:val="Paragraphedeliste"/>
        <w:numPr>
          <w:ilvl w:val="0"/>
          <w:numId w:val="48"/>
        </w:numPr>
      </w:pPr>
      <w:r>
        <w:t>Fourniture du PAR dans les demandes d’autorisation et de redressement</w:t>
      </w:r>
    </w:p>
    <w:p w:rsidR="00315273" w:rsidRDefault="00315273" w:rsidP="00315273">
      <w:pPr>
        <w:pStyle w:val="Paragraphedeliste"/>
        <w:numPr>
          <w:ilvl w:val="0"/>
          <w:numId w:val="48"/>
        </w:numPr>
      </w:pPr>
      <w:r>
        <w:t>Prise en charge par le système d’acceptation du PAR transmis par les émetteurs dans les réponses d’autorisation</w:t>
      </w:r>
    </w:p>
    <w:p w:rsidR="00446360" w:rsidRDefault="00446360" w:rsidP="00C47D80"/>
    <w:p w:rsidR="00C831C8" w:rsidRDefault="00C831C8" w:rsidP="00C47D80"/>
    <w:p w:rsidR="00C831C8" w:rsidRPr="00446360" w:rsidRDefault="00C831C8" w:rsidP="00C831C8">
      <w:pPr>
        <w:pStyle w:val="StyleStyle1EncadrementSimpleAutomatique05ptpaisseu"/>
        <w:rPr>
          <w:lang w:val="fr-FR"/>
        </w:rPr>
      </w:pPr>
      <w:bookmarkStart w:id="5" w:name="_Toc43490063"/>
      <w:r w:rsidRPr="00446360">
        <w:rPr>
          <w:lang w:val="fr-FR"/>
        </w:rPr>
        <w:t>Gestion sans-contact sur les DAC</w:t>
      </w:r>
      <w:bookmarkEnd w:id="5"/>
    </w:p>
    <w:p w:rsidR="00C831C8" w:rsidRDefault="00C831C8" w:rsidP="00C47D80"/>
    <w:p w:rsidR="00C831C8" w:rsidRDefault="00C831C8" w:rsidP="00C831C8"/>
    <w:p w:rsidR="00C831C8" w:rsidRDefault="00C831C8" w:rsidP="00C831C8">
      <w:r>
        <w:t>L’introduction du sans contact pour les DAC est tout à fait possible grâce</w:t>
      </w:r>
      <w:r w:rsidR="00446360">
        <w:t> :</w:t>
      </w:r>
    </w:p>
    <w:p w:rsidR="00446360" w:rsidRDefault="00446360" w:rsidP="00C831C8">
      <w:pPr>
        <w:pStyle w:val="Paragraphedeliste"/>
        <w:numPr>
          <w:ilvl w:val="0"/>
          <w:numId w:val="45"/>
        </w:numPr>
      </w:pPr>
      <w:r>
        <w:t>Aux</w:t>
      </w:r>
      <w:r w:rsidR="00C831C8">
        <w:t xml:space="preserve"> tables de paramétrages permettant d’appliquer les différentes exigences des </w:t>
      </w:r>
      <w:proofErr w:type="spellStart"/>
      <w:r w:rsidR="00C831C8">
        <w:t>schemes</w:t>
      </w:r>
      <w:proofErr w:type="spellEnd"/>
      <w:r w:rsidR="00C831C8">
        <w:t xml:space="preserve"> notamment sur l’authentification du porteur</w:t>
      </w:r>
    </w:p>
    <w:p w:rsidR="00C831C8" w:rsidRDefault="00446360" w:rsidP="00C831C8">
      <w:pPr>
        <w:pStyle w:val="Paragraphedeliste"/>
        <w:numPr>
          <w:ilvl w:val="0"/>
          <w:numId w:val="45"/>
        </w:numPr>
      </w:pPr>
      <w:r>
        <w:t>Au</w:t>
      </w:r>
      <w:r w:rsidR="00C831C8">
        <w:t xml:space="preserve"> PIN Online qui permet de proposer une authentification du porteur pour les transactions sans</w:t>
      </w:r>
      <w:r>
        <w:t>-</w:t>
      </w:r>
      <w:r w:rsidR="00C831C8">
        <w:t>contact</w:t>
      </w:r>
    </w:p>
    <w:p w:rsidR="00C831C8" w:rsidRDefault="00C831C8" w:rsidP="00C831C8">
      <w:r>
        <w:t xml:space="preserve">C’est pourquoi, </w:t>
      </w:r>
      <w:r w:rsidR="00446360">
        <w:t>il est envisagé</w:t>
      </w:r>
      <w:r>
        <w:t xml:space="preserve"> d’ouvrir le sans contact sur les automates de classe 2</w:t>
      </w:r>
      <w:r w:rsidR="00446360">
        <w:t>.</w:t>
      </w:r>
      <w:r>
        <w:t>2 à l’image de ce qui se fait pour les autres classes d’automates pour la release de Juin 2020</w:t>
      </w:r>
    </w:p>
    <w:p w:rsidR="00C831C8" w:rsidRDefault="00C831C8" w:rsidP="00C831C8"/>
    <w:p w:rsidR="00C831C8" w:rsidRDefault="00C831C8" w:rsidP="00C831C8">
      <w:r>
        <w:t xml:space="preserve">Tous les </w:t>
      </w:r>
      <w:proofErr w:type="spellStart"/>
      <w:r>
        <w:t>schemes</w:t>
      </w:r>
      <w:proofErr w:type="spellEnd"/>
      <w:r>
        <w:t xml:space="preserve"> à l’exception de CB proposent le </w:t>
      </w:r>
      <w:r w:rsidR="00446360">
        <w:t xml:space="preserve">mode </w:t>
      </w:r>
      <w:r>
        <w:t>sans</w:t>
      </w:r>
      <w:r w:rsidR="00446360">
        <w:t>-</w:t>
      </w:r>
      <w:r>
        <w:t>contact sur DAC</w:t>
      </w:r>
    </w:p>
    <w:p w:rsidR="00446360" w:rsidRDefault="00C831C8" w:rsidP="00C831C8">
      <w:r>
        <w:t>Si CB n’ouvre pas sa réglementation au sans contact DAC, la table des AID de l’application sans contact ne contiendra donc pas les AID CB</w:t>
      </w:r>
      <w:r w:rsidR="00446360">
        <w:t>.</w:t>
      </w:r>
      <w:r>
        <w:t xml:space="preserve"> </w:t>
      </w:r>
    </w:p>
    <w:p w:rsidR="00C831C8" w:rsidRDefault="00C831C8" w:rsidP="00C831C8">
      <w:r>
        <w:t>Ce</w:t>
      </w:r>
      <w:r w:rsidR="00446360">
        <w:t xml:space="preserve">tte configuration de la table EMV AID </w:t>
      </w:r>
      <w:r>
        <w:t>provoquera la sélection de l’autre AID de la carte (Visa ou Mastercard)</w:t>
      </w:r>
    </w:p>
    <w:p w:rsidR="00C831C8" w:rsidRDefault="00C831C8" w:rsidP="00C831C8"/>
    <w:p w:rsidR="00C831C8" w:rsidRDefault="00C831C8" w:rsidP="00C831C8"/>
    <w:p w:rsidR="00101D31" w:rsidRPr="00D85C18" w:rsidRDefault="00101D31" w:rsidP="00101D31">
      <w:pPr>
        <w:pStyle w:val="StyleStyle1EncadrementSimpleAutomatique05ptpaisseu"/>
      </w:pPr>
      <w:bookmarkStart w:id="6" w:name="_Toc43490064"/>
      <w:r>
        <w:lastRenderedPageBreak/>
        <w:t>Evolutions e-commerce</w:t>
      </w:r>
      <w:bookmarkEnd w:id="6"/>
    </w:p>
    <w:p w:rsidR="00101D31" w:rsidRDefault="00101D31" w:rsidP="00101D31">
      <w:pPr>
        <w:jc w:val="both"/>
        <w:rPr>
          <w:rFonts w:ascii="Verdana" w:hAnsi="Verdana"/>
          <w:szCs w:val="20"/>
        </w:rPr>
      </w:pPr>
    </w:p>
    <w:p w:rsidR="00101D31" w:rsidRPr="00EF21C2" w:rsidRDefault="00101D31" w:rsidP="00101D31">
      <w:pPr>
        <w:rPr>
          <w:rFonts w:ascii="Arial" w:hAnsi="Arial" w:cs="Arial"/>
          <w:szCs w:val="20"/>
        </w:rPr>
      </w:pPr>
      <w:r w:rsidRPr="00EF21C2">
        <w:rPr>
          <w:rFonts w:ascii="Arial" w:hAnsi="Arial" w:cs="Arial"/>
          <w:szCs w:val="20"/>
        </w:rPr>
        <w:t>MPADS : Evolutions embarquées dans la release de Juin 2020</w:t>
      </w:r>
    </w:p>
    <w:p w:rsidR="00101D31" w:rsidRPr="00EF21C2" w:rsidRDefault="00101D31" w:rsidP="00101D31">
      <w:pPr>
        <w:rPr>
          <w:rFonts w:ascii="Arial" w:hAnsi="Arial" w:cs="Arial"/>
          <w:szCs w:val="20"/>
        </w:rPr>
      </w:pPr>
      <w:r w:rsidRPr="00EF21C2">
        <w:rPr>
          <w:rFonts w:ascii="Arial" w:hAnsi="Arial" w:cs="Arial"/>
          <w:szCs w:val="20"/>
        </w:rPr>
        <w:t xml:space="preserve">Release de juin2020 </w:t>
      </w:r>
      <w:r w:rsidR="00D62459">
        <w:rPr>
          <w:rFonts w:ascii="Arial" w:hAnsi="Arial" w:cs="Arial"/>
          <w:szCs w:val="20"/>
        </w:rPr>
        <w:t>=</w:t>
      </w:r>
      <w:r w:rsidRPr="00EF21C2">
        <w:rPr>
          <w:rFonts w:ascii="Arial" w:hAnsi="Arial" w:cs="Arial"/>
          <w:szCs w:val="20"/>
        </w:rPr>
        <w:t xml:space="preserve"> MPADS F</w:t>
      </w:r>
      <w:r w:rsidR="00D62459">
        <w:rPr>
          <w:rFonts w:ascii="Arial" w:hAnsi="Arial" w:cs="Arial"/>
          <w:szCs w:val="20"/>
        </w:rPr>
        <w:t>RV</w:t>
      </w:r>
      <w:r w:rsidRPr="00EF21C2">
        <w:rPr>
          <w:rFonts w:ascii="Arial" w:hAnsi="Arial" w:cs="Arial"/>
          <w:szCs w:val="20"/>
        </w:rPr>
        <w:t>6 Version 6.3.0</w:t>
      </w:r>
    </w:p>
    <w:p w:rsidR="00D62459" w:rsidRPr="00D62459" w:rsidRDefault="00D62459" w:rsidP="00D62459">
      <w:pPr>
        <w:pStyle w:val="Paragraphedeliste"/>
        <w:numPr>
          <w:ilvl w:val="0"/>
          <w:numId w:val="46"/>
        </w:num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Réorganisation pour un MPADS multi-</w:t>
      </w:r>
      <w:proofErr w:type="spellStart"/>
      <w:r w:rsidRPr="00D62459">
        <w:rPr>
          <w:rFonts w:ascii="Arial" w:hAnsi="Arial" w:cs="Arial"/>
          <w:szCs w:val="20"/>
        </w:rPr>
        <w:t>Schemes</w:t>
      </w:r>
      <w:proofErr w:type="spellEnd"/>
    </w:p>
    <w:p w:rsidR="00D62459" w:rsidRPr="00D62459" w:rsidRDefault="00D62459" w:rsidP="00D62459">
      <w:pPr>
        <w:pStyle w:val="Paragraphedeliste"/>
        <w:numPr>
          <w:ilvl w:val="0"/>
          <w:numId w:val="46"/>
        </w:num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Reprise des Fiches Forum</w:t>
      </w:r>
    </w:p>
    <w:p w:rsidR="00D62459" w:rsidRPr="00D62459" w:rsidRDefault="00D62459" w:rsidP="00D62459">
      <w:pPr>
        <w:pStyle w:val="Paragraphedeliste"/>
        <w:numPr>
          <w:ilvl w:val="0"/>
          <w:numId w:val="46"/>
        </w:num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Expression des besoins Fonctionnels</w:t>
      </w:r>
    </w:p>
    <w:p w:rsidR="00101D31" w:rsidRDefault="00D62459" w:rsidP="00D62459">
      <w:pPr>
        <w:pStyle w:val="Paragraphedeliste"/>
        <w:numPr>
          <w:ilvl w:val="0"/>
          <w:numId w:val="46"/>
        </w:numPr>
      </w:pPr>
      <w:r w:rsidRPr="00D62459">
        <w:rPr>
          <w:rFonts w:ascii="Arial" w:hAnsi="Arial" w:cs="Arial"/>
          <w:szCs w:val="20"/>
        </w:rPr>
        <w:t xml:space="preserve">Travaux </w:t>
      </w:r>
      <w:proofErr w:type="spellStart"/>
      <w:r w:rsidRPr="00D62459">
        <w:rPr>
          <w:rFonts w:ascii="Arial" w:hAnsi="Arial" w:cs="Arial"/>
          <w:szCs w:val="20"/>
        </w:rPr>
        <w:t>Multipaiements</w:t>
      </w:r>
      <w:proofErr w:type="spellEnd"/>
      <w:r w:rsidRPr="00D62459">
        <w:rPr>
          <w:rFonts w:ascii="Arial" w:hAnsi="Arial" w:cs="Arial"/>
          <w:szCs w:val="20"/>
        </w:rPr>
        <w:t xml:space="preserve"> CIT/MIT </w:t>
      </w:r>
      <w:proofErr w:type="spellStart"/>
      <w:r w:rsidRPr="00D62459">
        <w:rPr>
          <w:rFonts w:ascii="Arial" w:hAnsi="Arial" w:cs="Arial"/>
          <w:szCs w:val="20"/>
        </w:rPr>
        <w:t>Schemes</w:t>
      </w:r>
      <w:proofErr w:type="spellEnd"/>
    </w:p>
    <w:p w:rsidR="00D62459" w:rsidRDefault="00D62459" w:rsidP="00101D31">
      <w:pPr>
        <w:rPr>
          <w:rFonts w:ascii="Arial" w:hAnsi="Arial" w:cs="Arial"/>
          <w:szCs w:val="20"/>
        </w:rPr>
      </w:pPr>
    </w:p>
    <w:p w:rsidR="00D62459" w:rsidRDefault="00D62459" w:rsidP="00101D31">
      <w:pPr>
        <w:rPr>
          <w:rFonts w:ascii="Arial" w:hAnsi="Arial" w:cs="Arial"/>
          <w:szCs w:val="20"/>
        </w:rPr>
      </w:pPr>
    </w:p>
    <w:p w:rsidR="00101D31" w:rsidRPr="00420EFF" w:rsidRDefault="00101D31" w:rsidP="00101D31">
      <w:pPr>
        <w:rPr>
          <w:rFonts w:ascii="Arial" w:hAnsi="Arial" w:cs="Arial"/>
          <w:b/>
          <w:bCs/>
          <w:szCs w:val="20"/>
        </w:rPr>
      </w:pPr>
      <w:r w:rsidRPr="00420EFF">
        <w:rPr>
          <w:rFonts w:ascii="Arial" w:hAnsi="Arial" w:cs="Arial"/>
          <w:b/>
          <w:bCs/>
          <w:szCs w:val="20"/>
        </w:rPr>
        <w:t>Evolution n°1 : Identifier les cas d’indisponibilités techniques (3DS Server, DS, ACS)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Les PAT ont remonté un besoin à ce sujet car en cas d’indisponibilité des moyens pour réaliser l’authentification du porteur, l’autorisation sera émise sans </w:t>
      </w:r>
      <w:proofErr w:type="spellStart"/>
      <w:r>
        <w:rPr>
          <w:rFonts w:ascii="Arial" w:hAnsi="Arial" w:cs="Arial"/>
          <w:szCs w:val="20"/>
        </w:rPr>
        <w:t>authen</w:t>
      </w:r>
      <w:proofErr w:type="spellEnd"/>
      <w:r>
        <w:rPr>
          <w:rFonts w:ascii="Arial" w:hAnsi="Arial" w:cs="Arial"/>
          <w:szCs w:val="20"/>
        </w:rPr>
        <w:t>. Le PAT a besoin de prévenir l’émetteur de cette indisponibilité.</w:t>
      </w:r>
    </w:p>
    <w:p w:rsidR="00101D31" w:rsidRPr="00CD681A" w:rsidRDefault="00101D31" w:rsidP="00101D31">
      <w:pPr>
        <w:rPr>
          <w:rFonts w:ascii="Arial" w:hAnsi="Arial" w:cs="Arial"/>
          <w:szCs w:val="20"/>
        </w:rPr>
      </w:pPr>
    </w:p>
    <w:p w:rsidR="00101D31" w:rsidRPr="00CD681A" w:rsidRDefault="00101D31" w:rsidP="00101D31">
      <w:pPr>
        <w:rPr>
          <w:rFonts w:ascii="Arial" w:hAnsi="Arial" w:cs="Arial"/>
          <w:szCs w:val="20"/>
        </w:rPr>
      </w:pPr>
      <w:r w:rsidRPr="00CD681A">
        <w:rPr>
          <w:rFonts w:ascii="Arial" w:hAnsi="Arial" w:cs="Arial"/>
          <w:szCs w:val="20"/>
        </w:rPr>
        <w:t>Cas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déjà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traités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avec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solution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existante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basée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sur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protocole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3DSV2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et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la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gestion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des</w:t>
      </w:r>
      <w:r>
        <w:rPr>
          <w:rFonts w:ascii="Arial" w:hAnsi="Arial" w:cs="Arial"/>
          <w:szCs w:val="20"/>
        </w:rPr>
        <w:t xml:space="preserve"> </w:t>
      </w:r>
      <w:proofErr w:type="spellStart"/>
      <w:r w:rsidRPr="00CD681A">
        <w:rPr>
          <w:rFonts w:ascii="Arial" w:hAnsi="Arial" w:cs="Arial"/>
          <w:szCs w:val="20"/>
        </w:rPr>
        <w:t>Timers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:</w:t>
      </w:r>
    </w:p>
    <w:p w:rsidR="00101D31" w:rsidRPr="00CD681A" w:rsidRDefault="00101D31" w:rsidP="00101D31">
      <w:pPr>
        <w:pStyle w:val="Paragraphedeliste"/>
        <w:numPr>
          <w:ilvl w:val="0"/>
          <w:numId w:val="34"/>
        </w:numPr>
        <w:rPr>
          <w:rFonts w:ascii="Arial" w:hAnsi="Arial" w:cs="Arial"/>
          <w:szCs w:val="20"/>
        </w:rPr>
      </w:pPr>
      <w:r w:rsidRPr="00CD681A">
        <w:rPr>
          <w:rFonts w:ascii="Arial" w:hAnsi="Arial" w:cs="Arial"/>
          <w:szCs w:val="20"/>
        </w:rPr>
        <w:t>Indisponibilité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du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DS</w:t>
      </w:r>
    </w:p>
    <w:p w:rsidR="00101D31" w:rsidRPr="00CD681A" w:rsidRDefault="00101D31" w:rsidP="00101D31">
      <w:pPr>
        <w:pStyle w:val="Paragraphedeliste"/>
        <w:numPr>
          <w:ilvl w:val="0"/>
          <w:numId w:val="34"/>
        </w:numPr>
        <w:rPr>
          <w:rFonts w:ascii="Arial" w:hAnsi="Arial" w:cs="Arial"/>
          <w:szCs w:val="20"/>
        </w:rPr>
      </w:pPr>
      <w:r w:rsidRPr="00CD681A">
        <w:rPr>
          <w:rFonts w:ascii="Arial" w:hAnsi="Arial" w:cs="Arial"/>
          <w:szCs w:val="20"/>
        </w:rPr>
        <w:t>Indisponibilité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l’ACS</w:t>
      </w:r>
    </w:p>
    <w:p w:rsidR="00101D31" w:rsidRPr="00CD681A" w:rsidRDefault="00101D31" w:rsidP="00101D31">
      <w:pPr>
        <w:rPr>
          <w:rFonts w:ascii="Arial" w:hAnsi="Arial" w:cs="Arial"/>
          <w:szCs w:val="20"/>
        </w:rPr>
      </w:pPr>
      <w:r w:rsidRPr="00CD681A">
        <w:rPr>
          <w:rFonts w:ascii="Arial" w:hAnsi="Arial" w:cs="Arial"/>
          <w:szCs w:val="20"/>
        </w:rPr>
        <w:t>Cas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non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traité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pour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lequel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il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faut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définir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une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solution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à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mettre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en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place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par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les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PAT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(solution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basée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sur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la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gestion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de</w:t>
      </w:r>
      <w:r>
        <w:rPr>
          <w:rFonts w:ascii="Arial" w:hAnsi="Arial" w:cs="Arial"/>
          <w:szCs w:val="20"/>
        </w:rPr>
        <w:t xml:space="preserve"> </w:t>
      </w:r>
      <w:proofErr w:type="spellStart"/>
      <w:r w:rsidRPr="00CD681A">
        <w:rPr>
          <w:rFonts w:ascii="Arial" w:hAnsi="Arial" w:cs="Arial"/>
          <w:szCs w:val="20"/>
        </w:rPr>
        <w:t>Timer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…)</w:t>
      </w:r>
      <w:r>
        <w:rPr>
          <w:rFonts w:ascii="Arial" w:hAnsi="Arial" w:cs="Arial"/>
          <w:szCs w:val="20"/>
        </w:rPr>
        <w:t xml:space="preserve"> </w:t>
      </w:r>
      <w:r w:rsidRPr="00CD681A">
        <w:rPr>
          <w:rFonts w:ascii="Arial" w:hAnsi="Arial" w:cs="Arial"/>
          <w:szCs w:val="20"/>
        </w:rPr>
        <w:t>:</w:t>
      </w:r>
    </w:p>
    <w:p w:rsidR="00101D31" w:rsidRDefault="00D62459" w:rsidP="00101D31">
      <w:pPr>
        <w:pStyle w:val="Paragraphedeliste"/>
        <w:numPr>
          <w:ilvl w:val="0"/>
          <w:numId w:val="35"/>
        </w:numPr>
        <w:rPr>
          <w:rFonts w:ascii="Arial" w:hAnsi="Arial" w:cs="Arial"/>
          <w:szCs w:val="20"/>
        </w:rPr>
      </w:pPr>
      <w:r w:rsidRPr="00CD681A">
        <w:rPr>
          <w:rFonts w:ascii="Arial" w:hAnsi="Arial" w:cs="Arial"/>
          <w:szCs w:val="20"/>
        </w:rPr>
        <w:t>Indisponibili</w:t>
      </w:r>
      <w:r>
        <w:rPr>
          <w:rFonts w:ascii="Arial" w:hAnsi="Arial" w:cs="Arial"/>
          <w:szCs w:val="20"/>
        </w:rPr>
        <w:t>té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du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3DS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Server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dont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la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conséquence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est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la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poursuite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du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traitement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de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la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‘Transaction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en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mode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non</w:t>
      </w:r>
      <w:r w:rsidR="00420EFF">
        <w:rPr>
          <w:rFonts w:ascii="Arial" w:hAnsi="Arial" w:cs="Arial"/>
          <w:szCs w:val="20"/>
        </w:rPr>
        <w:t xml:space="preserve"> </w:t>
      </w:r>
      <w:r w:rsidR="00101D31" w:rsidRPr="00CD681A">
        <w:rPr>
          <w:rFonts w:ascii="Arial" w:hAnsi="Arial" w:cs="Arial"/>
          <w:szCs w:val="20"/>
        </w:rPr>
        <w:t>sécurisé’.</w:t>
      </w:r>
    </w:p>
    <w:p w:rsidR="00420EFF" w:rsidRDefault="00420EFF" w:rsidP="00420EFF"/>
    <w:p w:rsidR="00420EFF" w:rsidRDefault="00D62459" w:rsidP="00420EFF">
      <w:r>
        <w:t xml:space="preserve">=&gt; </w:t>
      </w:r>
      <w:r>
        <w:rPr>
          <w:sz w:val="21"/>
          <w:szCs w:val="21"/>
        </w:rPr>
        <w:t>Ajout de la donnée ‘</w:t>
      </w:r>
      <w:proofErr w:type="spellStart"/>
      <w:r>
        <w:rPr>
          <w:sz w:val="21"/>
          <w:szCs w:val="21"/>
        </w:rPr>
        <w:t>Three</w:t>
      </w:r>
      <w:proofErr w:type="spellEnd"/>
      <w:r>
        <w:rPr>
          <w:sz w:val="21"/>
          <w:szCs w:val="21"/>
        </w:rPr>
        <w:t xml:space="preserve">-Domain Secure Components </w:t>
      </w:r>
      <w:proofErr w:type="spellStart"/>
      <w:r>
        <w:rPr>
          <w:sz w:val="21"/>
          <w:szCs w:val="21"/>
        </w:rPr>
        <w:t>Availability</w:t>
      </w:r>
      <w:proofErr w:type="spellEnd"/>
      <w:r>
        <w:rPr>
          <w:sz w:val="21"/>
          <w:szCs w:val="21"/>
        </w:rPr>
        <w:t xml:space="preserve">’ dont la valorisation à 1 signifie ‘3DS Server </w:t>
      </w:r>
      <w:proofErr w:type="spellStart"/>
      <w:r>
        <w:rPr>
          <w:sz w:val="21"/>
          <w:szCs w:val="21"/>
        </w:rPr>
        <w:t>Unavailable</w:t>
      </w:r>
      <w:proofErr w:type="spellEnd"/>
      <w:r>
        <w:rPr>
          <w:sz w:val="21"/>
          <w:szCs w:val="21"/>
        </w:rPr>
        <w:t>’.</w:t>
      </w:r>
      <w:r>
        <w:t xml:space="preserve"> (</w:t>
      </w:r>
      <w:r w:rsidR="00420EFF">
        <w:t>Impacts sur le MPADS et les protocoles CB2A CBAE</w:t>
      </w:r>
      <w:r>
        <w:t>).</w:t>
      </w:r>
    </w:p>
    <w:p w:rsidR="00420EFF" w:rsidRDefault="00420EFF" w:rsidP="00420EFF">
      <w:pPr>
        <w:rPr>
          <w:sz w:val="21"/>
          <w:szCs w:val="21"/>
        </w:rPr>
      </w:pPr>
      <w:r>
        <w:rPr>
          <w:sz w:val="21"/>
          <w:szCs w:val="21"/>
        </w:rPr>
        <w:t>.</w:t>
      </w: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420EFF" w:rsidRDefault="00101D31" w:rsidP="00101D31">
      <w:pPr>
        <w:rPr>
          <w:rFonts w:ascii="Arial" w:hAnsi="Arial" w:cs="Arial"/>
          <w:b/>
          <w:bCs/>
          <w:szCs w:val="20"/>
        </w:rPr>
      </w:pPr>
      <w:r w:rsidRPr="00420EFF">
        <w:rPr>
          <w:rFonts w:ascii="Arial" w:hAnsi="Arial" w:cs="Arial"/>
          <w:b/>
          <w:bCs/>
          <w:szCs w:val="20"/>
        </w:rPr>
        <w:t>Evolution n°2 : Généraliser les données d’authentification</w:t>
      </w:r>
    </w:p>
    <w:p w:rsidR="00101D31" w:rsidRPr="005D0A27" w:rsidRDefault="00101D31" w:rsidP="00101D31">
      <w:pPr>
        <w:rPr>
          <w:rFonts w:ascii="Arial" w:hAnsi="Arial" w:cs="Arial"/>
          <w:szCs w:val="20"/>
        </w:rPr>
      </w:pPr>
      <w:r w:rsidRPr="005D0A27">
        <w:rPr>
          <w:rFonts w:ascii="Arial" w:hAnsi="Arial" w:cs="Arial"/>
          <w:szCs w:val="20"/>
        </w:rPr>
        <w:t>Il s’agit de repréciser dans les référentiels protocoles les conditions de présence des données d’authentification suivantes :</w:t>
      </w:r>
      <w:r w:rsidR="00D62459">
        <w:rPr>
          <w:rFonts w:ascii="Arial" w:hAnsi="Arial" w:cs="Arial"/>
          <w:szCs w:val="20"/>
        </w:rPr>
        <w:t xml:space="preserve"> </w:t>
      </w:r>
      <w:r w:rsidR="00D62459" w:rsidRPr="00D62459">
        <w:rPr>
          <w:rFonts w:ascii="Arial" w:hAnsi="Arial" w:cs="Arial"/>
          <w:szCs w:val="20"/>
        </w:rPr>
        <w:t>Montant authentifié / Date et heure de l’authentification / Nom du commerçant / Adresse IP.</w:t>
      </w:r>
    </w:p>
    <w:p w:rsidR="00101D31" w:rsidRPr="005D0A27" w:rsidRDefault="00101D31" w:rsidP="00101D31">
      <w:pPr>
        <w:rPr>
          <w:rFonts w:ascii="Arial" w:hAnsi="Arial" w:cs="Arial"/>
          <w:szCs w:val="20"/>
        </w:rPr>
      </w:pPr>
      <w:r w:rsidRPr="005D0A27">
        <w:rPr>
          <w:rFonts w:ascii="Arial" w:hAnsi="Arial" w:cs="Arial"/>
          <w:szCs w:val="20"/>
        </w:rPr>
        <w:t>Pour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ces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données,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la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condition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actuelle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‘Obligatoire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si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authentification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3DSV2’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est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modifiée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pour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devenir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‘Obligatoire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si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fourni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par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la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solution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ayant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réalisé</w:t>
      </w:r>
      <w:r>
        <w:rPr>
          <w:rFonts w:ascii="Arial" w:hAnsi="Arial" w:cs="Arial"/>
          <w:szCs w:val="20"/>
        </w:rPr>
        <w:t xml:space="preserve"> </w:t>
      </w:r>
      <w:r w:rsidRPr="005D0A27">
        <w:rPr>
          <w:rFonts w:ascii="Arial" w:hAnsi="Arial" w:cs="Arial"/>
          <w:szCs w:val="20"/>
        </w:rPr>
        <w:t>l’authentification’.</w:t>
      </w: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8535FA" w:rsidRDefault="00101D31" w:rsidP="00101D31">
      <w:pPr>
        <w:rPr>
          <w:rFonts w:ascii="Arial" w:hAnsi="Arial" w:cs="Arial"/>
          <w:b/>
          <w:bCs/>
          <w:szCs w:val="20"/>
        </w:rPr>
      </w:pPr>
      <w:r w:rsidRPr="008535FA">
        <w:rPr>
          <w:rFonts w:ascii="Arial" w:hAnsi="Arial" w:cs="Arial"/>
          <w:b/>
          <w:bCs/>
          <w:szCs w:val="20"/>
        </w:rPr>
        <w:t>Evolution n°3 : Présence optionnelle du Cryptogramme de commerce électronique dans les transactions MIT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 caractère obligatoire pose pb car les règles PCI-DSS impose de ne pas stocker ce crypto.</w:t>
      </w:r>
    </w:p>
    <w:p w:rsidR="00101D31" w:rsidRDefault="008535FA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=&gt; </w:t>
      </w:r>
      <w:r w:rsidR="00101D31" w:rsidRPr="005D0A27">
        <w:rPr>
          <w:rFonts w:ascii="Arial" w:hAnsi="Arial" w:cs="Arial"/>
          <w:szCs w:val="20"/>
        </w:rPr>
        <w:t>Rendre optionnelle la présence du cryptogramme de commerce électronique dans les demandes d’autorisation relatives aux transactions MIT.</w:t>
      </w:r>
    </w:p>
    <w:p w:rsidR="00101D31" w:rsidRPr="005D0A27" w:rsidRDefault="00101D31" w:rsidP="00101D31">
      <w:pPr>
        <w:rPr>
          <w:rFonts w:ascii="Arial" w:hAnsi="Arial" w:cs="Arial"/>
          <w:szCs w:val="20"/>
        </w:rPr>
      </w:pP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8535FA" w:rsidRDefault="00101D31" w:rsidP="00101D31">
      <w:pPr>
        <w:rPr>
          <w:rFonts w:ascii="Arial" w:hAnsi="Arial" w:cs="Arial"/>
          <w:b/>
          <w:bCs/>
          <w:szCs w:val="20"/>
        </w:rPr>
      </w:pPr>
      <w:r w:rsidRPr="008535FA">
        <w:rPr>
          <w:rFonts w:ascii="Arial" w:hAnsi="Arial" w:cs="Arial"/>
          <w:b/>
          <w:bCs/>
          <w:szCs w:val="20"/>
        </w:rPr>
        <w:t>Evolution n°4 : Identifier dans la demande d’autorisation le PAT à l’origine de l’opération</w:t>
      </w:r>
    </w:p>
    <w:p w:rsidR="00101D31" w:rsidRPr="004D2FF2" w:rsidRDefault="00101D31" w:rsidP="00101D31">
      <w:pPr>
        <w:rPr>
          <w:rFonts w:ascii="Arial" w:hAnsi="Arial" w:cs="Arial"/>
          <w:szCs w:val="20"/>
        </w:rPr>
      </w:pPr>
      <w:r w:rsidRPr="004D2FF2">
        <w:rPr>
          <w:rFonts w:ascii="Arial" w:hAnsi="Arial" w:cs="Arial"/>
          <w:szCs w:val="20"/>
        </w:rPr>
        <w:t>Le raccordement des solutions e-commerce au Directory Server CB nécessite une homologation de la part de CB</w:t>
      </w:r>
      <w:r>
        <w:rPr>
          <w:rFonts w:ascii="Arial" w:hAnsi="Arial" w:cs="Arial"/>
          <w:szCs w:val="20"/>
        </w:rPr>
        <w:t xml:space="preserve"> </w:t>
      </w:r>
      <w:r w:rsidRPr="004D2FF2">
        <w:rPr>
          <w:rFonts w:ascii="Arial" w:hAnsi="Arial" w:cs="Arial"/>
          <w:szCs w:val="20"/>
        </w:rPr>
        <w:t>(intégration d’un module 3DS Server face au DS CB).</w:t>
      </w:r>
    </w:p>
    <w:p w:rsidR="00101D31" w:rsidRPr="004D2FF2" w:rsidRDefault="00101D31" w:rsidP="00101D31">
      <w:pPr>
        <w:rPr>
          <w:rFonts w:ascii="Arial" w:hAnsi="Arial" w:cs="Arial"/>
          <w:szCs w:val="20"/>
        </w:rPr>
      </w:pPr>
      <w:r w:rsidRPr="004D2FF2">
        <w:rPr>
          <w:rFonts w:ascii="Arial" w:hAnsi="Arial" w:cs="Arial"/>
          <w:szCs w:val="20"/>
        </w:rPr>
        <w:t>Avec cette homologation, le PAT est autorisé à diffuser sa solution sur le terrain sans agrément du fonctionnel et donc sans ITP</w:t>
      </w:r>
      <w:r>
        <w:rPr>
          <w:rFonts w:ascii="Arial" w:hAnsi="Arial" w:cs="Arial"/>
          <w:szCs w:val="20"/>
        </w:rPr>
        <w:t xml:space="preserve"> </w:t>
      </w:r>
      <w:r w:rsidRPr="004D2FF2">
        <w:rPr>
          <w:rFonts w:ascii="Arial" w:hAnsi="Arial" w:cs="Arial"/>
          <w:szCs w:val="20"/>
        </w:rPr>
        <w:t>valide.</w:t>
      </w:r>
    </w:p>
    <w:p w:rsidR="00101D31" w:rsidRPr="004D2FF2" w:rsidRDefault="00101D31" w:rsidP="00101D31">
      <w:pPr>
        <w:rPr>
          <w:rFonts w:ascii="Arial" w:hAnsi="Arial" w:cs="Arial"/>
          <w:szCs w:val="20"/>
        </w:rPr>
      </w:pPr>
      <w:r w:rsidRPr="004D2FF2">
        <w:rPr>
          <w:rFonts w:ascii="Arial" w:hAnsi="Arial" w:cs="Arial"/>
          <w:szCs w:val="20"/>
        </w:rPr>
        <w:t>Par ailleurs, le PAT s’engage à présenter sa solution à un agrément fonctionnel dans les 24 mois qui suivent l’homologation.</w:t>
      </w:r>
    </w:p>
    <w:p w:rsidR="00101D31" w:rsidRDefault="00101D31" w:rsidP="00101D31">
      <w:pPr>
        <w:rPr>
          <w:rFonts w:ascii="Arial" w:hAnsi="Arial" w:cs="Arial"/>
          <w:szCs w:val="20"/>
        </w:rPr>
      </w:pPr>
      <w:r w:rsidRPr="004D2FF2">
        <w:rPr>
          <w:rFonts w:ascii="Arial" w:hAnsi="Arial" w:cs="Arial"/>
          <w:szCs w:val="20"/>
        </w:rPr>
        <w:t xml:space="preserve">Pour </w:t>
      </w:r>
      <w:r w:rsidR="008535FA" w:rsidRPr="004D2FF2">
        <w:rPr>
          <w:rFonts w:ascii="Arial" w:hAnsi="Arial" w:cs="Arial"/>
          <w:szCs w:val="20"/>
        </w:rPr>
        <w:t>pallier</w:t>
      </w:r>
      <w:r w:rsidRPr="004D2FF2">
        <w:rPr>
          <w:rFonts w:ascii="Arial" w:hAnsi="Arial" w:cs="Arial"/>
          <w:szCs w:val="20"/>
        </w:rPr>
        <w:t xml:space="preserve"> cette absence d’ITP valide, CB demande un moyen (solution) qui permette d’identifier ces solutions sur le terrain.</w:t>
      </w: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8535FA" w:rsidRDefault="00101D31" w:rsidP="00101D31">
      <w:pPr>
        <w:rPr>
          <w:rFonts w:ascii="Arial" w:hAnsi="Arial" w:cs="Arial"/>
          <w:b/>
          <w:bCs/>
          <w:szCs w:val="20"/>
        </w:rPr>
      </w:pPr>
      <w:r w:rsidRPr="008535FA">
        <w:rPr>
          <w:rFonts w:ascii="Arial" w:hAnsi="Arial" w:cs="Arial"/>
          <w:b/>
          <w:bCs/>
          <w:szCs w:val="20"/>
        </w:rPr>
        <w:t>Evolution n°5 : Permettre l’initialisation d’un paiement à l’Expédition avec une Demande de Renseignement ou une Demande d’Autorisation</w:t>
      </w:r>
    </w:p>
    <w:p w:rsidR="00101D31" w:rsidRDefault="00101D31" w:rsidP="00101D31">
      <w:pPr>
        <w:rPr>
          <w:rFonts w:ascii="Arial" w:hAnsi="Arial" w:cs="Arial"/>
          <w:szCs w:val="20"/>
        </w:rPr>
      </w:pPr>
      <w:r w:rsidRPr="004D2FF2">
        <w:rPr>
          <w:rFonts w:ascii="Arial" w:hAnsi="Arial" w:cs="Arial"/>
          <w:szCs w:val="20"/>
        </w:rPr>
        <w:t>Toute procédure de paiement à l’expédition doit pouvoir, après la phase d’authentification du porteur, être initialisée par une</w:t>
      </w:r>
      <w:r>
        <w:rPr>
          <w:rFonts w:ascii="Arial" w:hAnsi="Arial" w:cs="Arial"/>
          <w:szCs w:val="20"/>
        </w:rPr>
        <w:t xml:space="preserve"> </w:t>
      </w:r>
      <w:r w:rsidRPr="004D2FF2">
        <w:rPr>
          <w:rFonts w:ascii="Arial" w:hAnsi="Arial" w:cs="Arial"/>
          <w:szCs w:val="20"/>
        </w:rPr>
        <w:t xml:space="preserve">demande de renseignement ou par une demande d’autorisation (lorsque la première expédition </w:t>
      </w:r>
      <w:r w:rsidRPr="004D2FF2">
        <w:rPr>
          <w:rFonts w:ascii="Arial" w:hAnsi="Arial" w:cs="Arial"/>
          <w:szCs w:val="20"/>
        </w:rPr>
        <w:lastRenderedPageBreak/>
        <w:t>est disponible) comme</w:t>
      </w:r>
      <w:r>
        <w:rPr>
          <w:rFonts w:ascii="Arial" w:hAnsi="Arial" w:cs="Arial"/>
          <w:szCs w:val="20"/>
        </w:rPr>
        <w:t xml:space="preserve"> </w:t>
      </w:r>
      <w:r w:rsidRPr="004D2FF2">
        <w:rPr>
          <w:rFonts w:ascii="Arial" w:hAnsi="Arial" w:cs="Arial"/>
          <w:szCs w:val="20"/>
        </w:rPr>
        <w:t>transaction initiée par le porteur (CIT). Les expéditions suivantes font l’objet d’une demande d’autorisation en tant que</w:t>
      </w:r>
      <w:r>
        <w:rPr>
          <w:rFonts w:ascii="Arial" w:hAnsi="Arial" w:cs="Arial"/>
          <w:szCs w:val="20"/>
        </w:rPr>
        <w:t xml:space="preserve"> </w:t>
      </w:r>
      <w:r w:rsidRPr="004D2FF2">
        <w:rPr>
          <w:rFonts w:ascii="Arial" w:hAnsi="Arial" w:cs="Arial"/>
          <w:szCs w:val="20"/>
        </w:rPr>
        <w:t>transactions initiées par l’Accepteur (MIT).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=&gt; impact éditorial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=&gt; retour GE : favorable car cela correspond à ce qu’attendent les autres </w:t>
      </w:r>
      <w:proofErr w:type="spellStart"/>
      <w:r>
        <w:rPr>
          <w:rFonts w:ascii="Arial" w:hAnsi="Arial" w:cs="Arial"/>
          <w:szCs w:val="20"/>
        </w:rPr>
        <w:t>schemes</w:t>
      </w:r>
      <w:proofErr w:type="spellEnd"/>
      <w:r>
        <w:rPr>
          <w:rFonts w:ascii="Arial" w:hAnsi="Arial" w:cs="Arial"/>
          <w:szCs w:val="20"/>
        </w:rPr>
        <w:t>.</w:t>
      </w:r>
    </w:p>
    <w:p w:rsidR="00D62459" w:rsidRDefault="00D62459" w:rsidP="00101D31">
      <w:pPr>
        <w:rPr>
          <w:rFonts w:ascii="Arial" w:hAnsi="Arial" w:cs="Arial"/>
          <w:szCs w:val="20"/>
        </w:rPr>
      </w:pPr>
    </w:p>
    <w:p w:rsidR="00D62459" w:rsidRDefault="00D62459" w:rsidP="00D62459">
      <w:pPr>
        <w:rPr>
          <w:rFonts w:ascii="Arial" w:hAnsi="Arial" w:cs="Arial"/>
          <w:szCs w:val="20"/>
        </w:rPr>
      </w:pPr>
      <w:r w:rsidRPr="00D62459">
        <w:rPr>
          <w:rFonts w:ascii="Arial" w:hAnsi="Arial" w:cs="Arial"/>
          <w:b/>
          <w:bCs/>
          <w:szCs w:val="20"/>
        </w:rPr>
        <w:t>Evolution n°6 : Clarifier l’usage des données ‘Original Unique Transaction Identifier’ et ‘Unique Transaction Identifier’</w:t>
      </w:r>
      <w:r>
        <w:rPr>
          <w:rFonts w:ascii="Arial" w:hAnsi="Arial" w:cs="Arial"/>
          <w:szCs w:val="20"/>
        </w:rPr>
        <w:t xml:space="preserve"> = </w:t>
      </w:r>
      <w:r w:rsidRPr="00D62459">
        <w:rPr>
          <w:rFonts w:ascii="Arial" w:hAnsi="Arial" w:cs="Arial"/>
          <w:szCs w:val="20"/>
        </w:rPr>
        <w:t>Evolution éditoriale.</w:t>
      </w:r>
    </w:p>
    <w:p w:rsidR="00D62459" w:rsidRDefault="00D62459" w:rsidP="00101D31">
      <w:pPr>
        <w:rPr>
          <w:rFonts w:ascii="Arial" w:hAnsi="Arial" w:cs="Arial"/>
          <w:szCs w:val="20"/>
        </w:rPr>
      </w:pPr>
    </w:p>
    <w:p w:rsidR="00D62459" w:rsidRPr="00D62459" w:rsidRDefault="00D62459" w:rsidP="00D62459">
      <w:pPr>
        <w:rPr>
          <w:rFonts w:ascii="Arial" w:hAnsi="Arial" w:cs="Arial"/>
          <w:b/>
          <w:bCs/>
          <w:szCs w:val="20"/>
        </w:rPr>
      </w:pPr>
      <w:r w:rsidRPr="00D62459">
        <w:rPr>
          <w:rFonts w:ascii="Arial" w:hAnsi="Arial" w:cs="Arial"/>
          <w:b/>
          <w:bCs/>
          <w:szCs w:val="20"/>
        </w:rPr>
        <w:t>Evolution n°7 : Conditions de présence des données en autorisation (Tableau MPADS)</w:t>
      </w:r>
    </w:p>
    <w:p w:rsidR="00D62459" w:rsidRDefault="00D62459" w:rsidP="00D62459">
      <w:pPr>
        <w:rPr>
          <w:rFonts w:ascii="Arial" w:hAnsi="Arial" w:cs="Arial"/>
          <w:szCs w:val="20"/>
        </w:rPr>
      </w:pPr>
      <w:proofErr w:type="gramStart"/>
      <w:r w:rsidRPr="00D62459">
        <w:rPr>
          <w:rFonts w:ascii="Arial" w:hAnsi="Arial" w:cs="Arial"/>
          <w:szCs w:val="20"/>
        </w:rPr>
        <w:t>Suite à</w:t>
      </w:r>
      <w:proofErr w:type="gramEnd"/>
      <w:r w:rsidRPr="00D62459">
        <w:rPr>
          <w:rFonts w:ascii="Arial" w:hAnsi="Arial" w:cs="Arial"/>
          <w:szCs w:val="20"/>
        </w:rPr>
        <w:t xml:space="preserve"> l’expérience terrain (PAT, commerçants, …), clarification et précision des conditions de présence des</w:t>
      </w:r>
      <w:r>
        <w:rPr>
          <w:rFonts w:ascii="Arial" w:hAnsi="Arial" w:cs="Arial"/>
          <w:szCs w:val="20"/>
        </w:rPr>
        <w:t xml:space="preserve"> </w:t>
      </w:r>
      <w:r w:rsidRPr="00D62459">
        <w:rPr>
          <w:rFonts w:ascii="Arial" w:hAnsi="Arial" w:cs="Arial"/>
          <w:szCs w:val="20"/>
        </w:rPr>
        <w:t xml:space="preserve">données d’authentification 3DS V2 et des données du </w:t>
      </w:r>
      <w:proofErr w:type="spellStart"/>
      <w:r w:rsidRPr="00D62459">
        <w:rPr>
          <w:rFonts w:ascii="Arial" w:hAnsi="Arial" w:cs="Arial"/>
          <w:szCs w:val="20"/>
        </w:rPr>
        <w:t>multipaiement</w:t>
      </w:r>
      <w:proofErr w:type="spellEnd"/>
      <w:r w:rsidRPr="00D62459">
        <w:rPr>
          <w:rFonts w:ascii="Arial" w:hAnsi="Arial" w:cs="Arial"/>
          <w:szCs w:val="20"/>
        </w:rPr>
        <w:t xml:space="preserve"> (expédition, échelonné, abonnements).</w:t>
      </w:r>
    </w:p>
    <w:p w:rsidR="00D62459" w:rsidRDefault="00D62459" w:rsidP="00101D31">
      <w:pPr>
        <w:rPr>
          <w:rFonts w:ascii="Arial" w:hAnsi="Arial" w:cs="Arial"/>
          <w:szCs w:val="20"/>
        </w:rPr>
      </w:pPr>
    </w:p>
    <w:p w:rsidR="00D62459" w:rsidRDefault="00101D31" w:rsidP="00101D31">
      <w:pPr>
        <w:rPr>
          <w:rFonts w:ascii="Arial" w:hAnsi="Arial" w:cs="Arial"/>
          <w:b/>
          <w:bCs/>
          <w:szCs w:val="20"/>
        </w:rPr>
      </w:pPr>
      <w:r w:rsidRPr="00D62459">
        <w:rPr>
          <w:rFonts w:ascii="Arial" w:hAnsi="Arial" w:cs="Arial"/>
          <w:b/>
          <w:bCs/>
          <w:szCs w:val="20"/>
        </w:rPr>
        <w:t xml:space="preserve">Evolution 8 : </w:t>
      </w:r>
      <w:proofErr w:type="spellStart"/>
      <w:r w:rsidR="00D62459" w:rsidRPr="00D62459">
        <w:rPr>
          <w:rFonts w:ascii="Arial" w:hAnsi="Arial" w:cs="Arial"/>
          <w:b/>
          <w:bCs/>
          <w:szCs w:val="20"/>
        </w:rPr>
        <w:t>multipaiement</w:t>
      </w:r>
      <w:proofErr w:type="spellEnd"/>
      <w:r w:rsidR="00D62459" w:rsidRPr="00D62459">
        <w:rPr>
          <w:rFonts w:ascii="Arial" w:hAnsi="Arial" w:cs="Arial"/>
          <w:b/>
          <w:bCs/>
          <w:szCs w:val="20"/>
        </w:rPr>
        <w:t xml:space="preserve"> et les cas de paiement au PLBS</w:t>
      </w:r>
    </w:p>
    <w:p w:rsidR="00D62459" w:rsidRPr="00D62459" w:rsidRDefault="00D62459" w:rsidP="00D62459">
      <w:p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Le PLBS devient le</w:t>
      </w:r>
      <w:r>
        <w:rPr>
          <w:rFonts w:ascii="Arial" w:hAnsi="Arial" w:cs="Arial"/>
          <w:szCs w:val="20"/>
        </w:rPr>
        <w:t xml:space="preserve"> </w:t>
      </w:r>
      <w:r w:rsidRPr="00D62459">
        <w:rPr>
          <w:rFonts w:ascii="Arial" w:hAnsi="Arial" w:cs="Arial"/>
          <w:szCs w:val="20"/>
        </w:rPr>
        <w:t>cas de paiement : ‘</w:t>
      </w:r>
      <w:proofErr w:type="spellStart"/>
      <w:r w:rsidRPr="00D62459">
        <w:rPr>
          <w:rFonts w:ascii="Arial" w:hAnsi="Arial" w:cs="Arial"/>
          <w:szCs w:val="20"/>
        </w:rPr>
        <w:t>Reservation</w:t>
      </w:r>
      <w:proofErr w:type="spellEnd"/>
      <w:r w:rsidRPr="00D62459">
        <w:rPr>
          <w:rFonts w:ascii="Arial" w:hAnsi="Arial" w:cs="Arial"/>
          <w:szCs w:val="20"/>
        </w:rPr>
        <w:t xml:space="preserve"> and </w:t>
      </w:r>
      <w:proofErr w:type="spellStart"/>
      <w:r w:rsidRPr="00D62459">
        <w:rPr>
          <w:rFonts w:ascii="Arial" w:hAnsi="Arial" w:cs="Arial"/>
          <w:szCs w:val="20"/>
        </w:rPr>
        <w:t>Rental</w:t>
      </w:r>
      <w:proofErr w:type="spellEnd"/>
      <w:r w:rsidRPr="00D62459">
        <w:rPr>
          <w:rFonts w:ascii="Arial" w:hAnsi="Arial" w:cs="Arial"/>
          <w:szCs w:val="20"/>
        </w:rPr>
        <w:t xml:space="preserve"> Payment’ avec CIT/MIT.</w:t>
      </w:r>
    </w:p>
    <w:p w:rsidR="00D62459" w:rsidRPr="00D62459" w:rsidRDefault="00D62459" w:rsidP="00D62459">
      <w:p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La transaction préautorisée (transaction initiale) est une transaction initiée par le porteur (CIT),</w:t>
      </w:r>
    </w:p>
    <w:p w:rsidR="00D62459" w:rsidRDefault="00D62459" w:rsidP="00D62459">
      <w:p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 xml:space="preserve">Les éventuelles transactions suivantes (Incidental Charges, No-Show et </w:t>
      </w:r>
      <w:proofErr w:type="spellStart"/>
      <w:r w:rsidRPr="00D62459">
        <w:rPr>
          <w:rFonts w:ascii="Arial" w:hAnsi="Arial" w:cs="Arial"/>
          <w:szCs w:val="20"/>
        </w:rPr>
        <w:t>Incremental</w:t>
      </w:r>
      <w:proofErr w:type="spellEnd"/>
      <w:r w:rsidRPr="00D62459">
        <w:rPr>
          <w:rFonts w:ascii="Arial" w:hAnsi="Arial" w:cs="Arial"/>
          <w:szCs w:val="20"/>
        </w:rPr>
        <w:t xml:space="preserve"> Charges) sont des transactions initiées par l’Accepteur (MIT).</w:t>
      </w:r>
    </w:p>
    <w:p w:rsidR="00101D31" w:rsidRDefault="00D62459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 terminologie « </w:t>
      </w:r>
      <w:r w:rsidR="00101D31" w:rsidRPr="00D62459">
        <w:rPr>
          <w:rFonts w:ascii="Arial" w:hAnsi="Arial" w:cs="Arial"/>
          <w:szCs w:val="20"/>
        </w:rPr>
        <w:t>montant estimé</w:t>
      </w:r>
      <w:r>
        <w:rPr>
          <w:rFonts w:ascii="Arial" w:hAnsi="Arial" w:cs="Arial"/>
          <w:szCs w:val="20"/>
        </w:rPr>
        <w:t> »</w:t>
      </w:r>
      <w:r w:rsidR="00101D31">
        <w:rPr>
          <w:rFonts w:ascii="Arial" w:hAnsi="Arial" w:cs="Arial"/>
          <w:szCs w:val="20"/>
        </w:rPr>
        <w:t xml:space="preserve"> risque de porter à confusion, il serait préférable d’avoir un autre libellé</w:t>
      </w:r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D62459" w:rsidRDefault="00101D31" w:rsidP="00101D31">
      <w:pPr>
        <w:rPr>
          <w:rFonts w:ascii="Arial" w:hAnsi="Arial" w:cs="Arial"/>
          <w:b/>
          <w:bCs/>
          <w:szCs w:val="20"/>
        </w:rPr>
      </w:pPr>
      <w:r w:rsidRPr="00D62459">
        <w:rPr>
          <w:rFonts w:ascii="Arial" w:hAnsi="Arial" w:cs="Arial"/>
          <w:b/>
          <w:bCs/>
          <w:szCs w:val="20"/>
        </w:rPr>
        <w:t>Evolution 9 : attention paiement unique &lt;&gt; paiement one shot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Cela peut poser pb si les règles des différents réseaux sont différentes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Pour CB le paiement unique n’a pas de délai de présentation. Il est unique dans le sens </w:t>
      </w:r>
      <w:r w:rsidR="00D62459">
        <w:rPr>
          <w:rFonts w:ascii="Arial" w:hAnsi="Arial" w:cs="Arial"/>
          <w:szCs w:val="20"/>
        </w:rPr>
        <w:t>où</w:t>
      </w:r>
      <w:r>
        <w:rPr>
          <w:rFonts w:ascii="Arial" w:hAnsi="Arial" w:cs="Arial"/>
          <w:szCs w:val="20"/>
        </w:rPr>
        <w:t xml:space="preserve"> il n’y pas d’autres paiement qui suivent.</w:t>
      </w:r>
    </w:p>
    <w:p w:rsidR="00101D31" w:rsidRDefault="00101D31" w:rsidP="00101D3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Pour le one shot, il est prévu dans MPADS d’avoir un paramétrage des délais max par </w:t>
      </w:r>
      <w:proofErr w:type="spellStart"/>
      <w:r>
        <w:rPr>
          <w:rFonts w:ascii="Arial" w:hAnsi="Arial" w:cs="Arial"/>
          <w:szCs w:val="20"/>
        </w:rPr>
        <w:t>scheme</w:t>
      </w:r>
      <w:proofErr w:type="spellEnd"/>
    </w:p>
    <w:p w:rsidR="00101D31" w:rsidRDefault="00101D31" w:rsidP="00101D31">
      <w:pPr>
        <w:rPr>
          <w:rFonts w:ascii="Arial" w:hAnsi="Arial" w:cs="Arial"/>
          <w:szCs w:val="20"/>
        </w:rPr>
      </w:pPr>
    </w:p>
    <w:p w:rsidR="00101D31" w:rsidRPr="00CD681A" w:rsidRDefault="00D62459" w:rsidP="00D62459">
      <w:pPr>
        <w:rPr>
          <w:rFonts w:ascii="Arial" w:hAnsi="Arial" w:cs="Arial"/>
          <w:szCs w:val="20"/>
        </w:rPr>
      </w:pPr>
      <w:r w:rsidRPr="00D62459">
        <w:rPr>
          <w:rFonts w:ascii="Arial" w:hAnsi="Arial" w:cs="Arial"/>
          <w:szCs w:val="20"/>
        </w:rPr>
        <w:t>Définir le Paiement Agrégé d’Achats Multiples (PAAM) en tant que Paiement unique</w:t>
      </w:r>
      <w:r>
        <w:rPr>
          <w:rFonts w:ascii="Arial" w:hAnsi="Arial" w:cs="Arial"/>
          <w:szCs w:val="20"/>
        </w:rPr>
        <w:t>. Ainsi l</w:t>
      </w:r>
      <w:r w:rsidRPr="00D62459">
        <w:rPr>
          <w:rFonts w:ascii="Arial" w:hAnsi="Arial" w:cs="Arial"/>
          <w:szCs w:val="20"/>
        </w:rPr>
        <w:t>es opérations PAAM sont qualifiées de paiement unique (CIT).</w:t>
      </w:r>
    </w:p>
    <w:p w:rsidR="00D62459" w:rsidRPr="00D62459" w:rsidRDefault="00D62459" w:rsidP="00D62459">
      <w:pPr>
        <w:rPr>
          <w:b/>
          <w:bCs/>
        </w:rPr>
      </w:pPr>
      <w:r w:rsidRPr="00D62459">
        <w:rPr>
          <w:b/>
          <w:bCs/>
        </w:rPr>
        <w:t>Evolution n°10 : Nouveau code réponse en autorisation ‘</w:t>
      </w:r>
      <w:proofErr w:type="spellStart"/>
      <w:r w:rsidRPr="00D62459">
        <w:rPr>
          <w:b/>
          <w:bCs/>
        </w:rPr>
        <w:t>Misused</w:t>
      </w:r>
      <w:proofErr w:type="spellEnd"/>
      <w:r w:rsidRPr="00D62459">
        <w:rPr>
          <w:b/>
          <w:bCs/>
        </w:rPr>
        <w:t xml:space="preserve"> TRA Exemption’</w:t>
      </w:r>
    </w:p>
    <w:p w:rsidR="00D62459" w:rsidRDefault="00D62459" w:rsidP="00D62459">
      <w:r>
        <w:t>L’évolution consiste pour l’acquéreur à contrôler les conditions de mise en œuvre de l’exemption ‘TRA Acquéreur’ par l’accepteur et à signaler à l’accepteur toute utilisation inappropriée de cette exemption.</w:t>
      </w:r>
    </w:p>
    <w:p w:rsidR="00C831C8" w:rsidRDefault="00D62459" w:rsidP="00D62459">
      <w:r>
        <w:t>Enrichir les codes réponse en autorisation avec le code ‘</w:t>
      </w:r>
      <w:proofErr w:type="spellStart"/>
      <w:r>
        <w:t>Misused</w:t>
      </w:r>
      <w:proofErr w:type="spellEnd"/>
      <w:r>
        <w:t xml:space="preserve"> TRA Exemption TRA’.</w:t>
      </w:r>
    </w:p>
    <w:p w:rsidR="00647B1C" w:rsidRDefault="00647B1C"/>
    <w:p w:rsidR="00647B1C" w:rsidRPr="00647B1C" w:rsidRDefault="00647B1C">
      <w:pPr>
        <w:rPr>
          <w:b/>
          <w:bCs/>
        </w:rPr>
      </w:pPr>
      <w:r w:rsidRPr="00647B1C">
        <w:rPr>
          <w:b/>
          <w:bCs/>
        </w:rPr>
        <w:t>Evolution n°11 : Chaînage d’une opération de crédit</w:t>
      </w:r>
    </w:p>
    <w:p w:rsidR="003D71F3" w:rsidRDefault="003D71F3" w:rsidP="003D71F3"/>
    <w:p w:rsidR="003D71F3" w:rsidRDefault="003D71F3" w:rsidP="003D71F3">
      <w:r>
        <w:t>Cas d’une t</w:t>
      </w:r>
      <w:r w:rsidRPr="003D71F3">
        <w:t>ransaction de débit qui fait l’objet du remboursement</w:t>
      </w:r>
      <w:r>
        <w:t xml:space="preserve"> </w:t>
      </w:r>
    </w:p>
    <w:p w:rsidR="003D71F3" w:rsidRDefault="003D71F3" w:rsidP="003D71F3">
      <w:r>
        <w:t>Transaction concernée : CIT d’un paiement unique ou CIT/MIT d’un paiement multiple</w:t>
      </w:r>
    </w:p>
    <w:p w:rsidR="00647B1C" w:rsidRDefault="003D71F3" w:rsidP="003D71F3">
      <w:r>
        <w:t>« Unique transaction Identifier de la transaction » à rembourser pour valoriser « </w:t>
      </w:r>
      <w:proofErr w:type="spellStart"/>
      <w:r>
        <w:t>Debit</w:t>
      </w:r>
      <w:proofErr w:type="spellEnd"/>
      <w:r>
        <w:t xml:space="preserve"> Unique Transaction Identifier »</w:t>
      </w:r>
    </w:p>
    <w:p w:rsidR="003D71F3" w:rsidRDefault="003D71F3"/>
    <w:p w:rsidR="003D71F3" w:rsidRDefault="003D71F3">
      <w:r>
        <w:t xml:space="preserve">Cas d’un remboursement d’une transaction qui fait partie d’une série </w:t>
      </w:r>
      <w:proofErr w:type="spellStart"/>
      <w:r>
        <w:t>multipaiement</w:t>
      </w:r>
      <w:proofErr w:type="spellEnd"/>
    </w:p>
    <w:p w:rsidR="003D71F3" w:rsidRDefault="003D71F3" w:rsidP="003D71F3">
      <w:r>
        <w:t>Transaction concernée : CIT ou MIT d’un paiement multiple</w:t>
      </w:r>
    </w:p>
    <w:p w:rsidR="003D71F3" w:rsidRDefault="003D71F3" w:rsidP="003D71F3">
      <w:r>
        <w:t>« Unique transaction Identifier » de la CIT pour valoriser « Original Unique Transaction Identifier »</w:t>
      </w:r>
    </w:p>
    <w:p w:rsidR="003D71F3" w:rsidRDefault="003D71F3" w:rsidP="003D71F3"/>
    <w:p w:rsidR="003D71F3" w:rsidRDefault="003D71F3" w:rsidP="003D71F3"/>
    <w:p w:rsidR="003D71F3" w:rsidRPr="003D71F3" w:rsidRDefault="003D71F3" w:rsidP="003D71F3">
      <w:pPr>
        <w:rPr>
          <w:rFonts w:ascii="Arial" w:hAnsi="Arial" w:cs="Arial"/>
          <w:b/>
          <w:bCs/>
          <w:szCs w:val="20"/>
        </w:rPr>
      </w:pPr>
      <w:r w:rsidRPr="003D71F3">
        <w:rPr>
          <w:rFonts w:ascii="Arial" w:hAnsi="Arial" w:cs="Arial"/>
          <w:b/>
          <w:bCs/>
          <w:szCs w:val="20"/>
        </w:rPr>
        <w:t>Evolutions CB2A pour VISA – MIT et transactions</w:t>
      </w:r>
    </w:p>
    <w:p w:rsidR="003D71F3" w:rsidRPr="0002378F" w:rsidRDefault="003D71F3" w:rsidP="003D71F3">
      <w:pPr>
        <w:rPr>
          <w:rFonts w:ascii="Arial" w:hAnsi="Arial" w:cs="Arial"/>
          <w:szCs w:val="20"/>
        </w:rPr>
      </w:pPr>
      <w:r w:rsidRPr="0002378F">
        <w:rPr>
          <w:rFonts w:ascii="Arial" w:hAnsi="Arial" w:cs="Arial"/>
          <w:szCs w:val="20"/>
        </w:rPr>
        <w:t>Visa décrit plusieurs types de MIT. Certaines typologies se rapprochent de</w:t>
      </w:r>
      <w:r>
        <w:rPr>
          <w:rFonts w:ascii="Arial" w:hAnsi="Arial" w:cs="Arial"/>
          <w:szCs w:val="20"/>
        </w:rPr>
        <w:t xml:space="preserve"> </w:t>
      </w:r>
      <w:r w:rsidRPr="0002378F">
        <w:rPr>
          <w:rFonts w:ascii="Arial" w:hAnsi="Arial" w:cs="Arial"/>
          <w:szCs w:val="20"/>
        </w:rPr>
        <w:t>typologies déjà décrites dans les référentiels FrenchSys</w:t>
      </w:r>
      <w:r>
        <w:rPr>
          <w:rFonts w:ascii="Arial" w:hAnsi="Arial" w:cs="Arial"/>
          <w:szCs w:val="20"/>
        </w:rPr>
        <w:t xml:space="preserve"> à travers les « cas de paiement »</w:t>
      </w:r>
      <w:r w:rsidRPr="0002378F">
        <w:rPr>
          <w:rFonts w:ascii="Arial" w:hAnsi="Arial" w:cs="Arial"/>
          <w:szCs w:val="20"/>
        </w:rPr>
        <w:t>, et d’autres n’ont</w:t>
      </w:r>
      <w:r>
        <w:rPr>
          <w:rFonts w:ascii="Arial" w:hAnsi="Arial" w:cs="Arial"/>
          <w:szCs w:val="20"/>
        </w:rPr>
        <w:t xml:space="preserve"> </w:t>
      </w:r>
      <w:r w:rsidRPr="0002378F">
        <w:rPr>
          <w:rFonts w:ascii="Arial" w:hAnsi="Arial" w:cs="Arial"/>
          <w:szCs w:val="20"/>
        </w:rPr>
        <w:t>pas d’équivalence.</w:t>
      </w:r>
    </w:p>
    <w:p w:rsidR="003D71F3" w:rsidRDefault="003D71F3" w:rsidP="003D71F3">
      <w:pPr>
        <w:rPr>
          <w:rFonts w:ascii="Arial" w:hAnsi="Arial" w:cs="Arial"/>
          <w:szCs w:val="20"/>
        </w:rPr>
      </w:pPr>
      <w:r w:rsidRPr="0002378F">
        <w:rPr>
          <w:rFonts w:ascii="Arial" w:hAnsi="Arial" w:cs="Arial"/>
          <w:szCs w:val="20"/>
        </w:rPr>
        <w:t>L’objectif des travaux de 2020 est d’intégrer les MIT Visa qui ont déjà des</w:t>
      </w:r>
      <w:r>
        <w:rPr>
          <w:rFonts w:ascii="Arial" w:hAnsi="Arial" w:cs="Arial"/>
          <w:szCs w:val="20"/>
        </w:rPr>
        <w:t xml:space="preserve"> </w:t>
      </w:r>
      <w:r w:rsidRPr="0002378F">
        <w:rPr>
          <w:rFonts w:ascii="Arial" w:hAnsi="Arial" w:cs="Arial"/>
          <w:szCs w:val="20"/>
        </w:rPr>
        <w:t>équivalences avec le fonctionnel existant, celles sans équivalences seront</w:t>
      </w:r>
      <w:r>
        <w:rPr>
          <w:rFonts w:ascii="Arial" w:hAnsi="Arial" w:cs="Arial"/>
          <w:szCs w:val="20"/>
        </w:rPr>
        <w:t xml:space="preserve"> </w:t>
      </w:r>
      <w:r w:rsidRPr="0002378F">
        <w:rPr>
          <w:rFonts w:ascii="Arial" w:hAnsi="Arial" w:cs="Arial"/>
          <w:szCs w:val="20"/>
        </w:rPr>
        <w:t>traitées en 2021.</w:t>
      </w:r>
    </w:p>
    <w:p w:rsidR="003D71F3" w:rsidRDefault="003D71F3" w:rsidP="003D71F3">
      <w:pPr>
        <w:rPr>
          <w:rFonts w:ascii="Arial" w:hAnsi="Arial" w:cs="Arial"/>
          <w:szCs w:val="20"/>
        </w:rPr>
      </w:pPr>
    </w:p>
    <w:p w:rsidR="003D71F3" w:rsidRDefault="003D71F3" w:rsidP="003D71F3">
      <w:pPr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2C7633F0" wp14:editId="4DB339AE">
            <wp:extent cx="6480175" cy="29051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F3" w:rsidRDefault="003D71F3" w:rsidP="003D71F3">
      <w:pPr>
        <w:rPr>
          <w:rFonts w:ascii="Arial" w:hAnsi="Arial" w:cs="Arial"/>
          <w:szCs w:val="20"/>
        </w:rPr>
      </w:pPr>
    </w:p>
    <w:p w:rsidR="003D71F3" w:rsidRDefault="003D71F3" w:rsidP="003D71F3"/>
    <w:p w:rsidR="00915EDA" w:rsidRPr="00446360" w:rsidRDefault="00915EDA">
      <w:pPr>
        <w:rPr>
          <w:rFonts w:ascii="Arial Gras" w:hAnsi="Arial Gras"/>
          <w:b/>
          <w:bCs/>
          <w:smallCaps/>
          <w:color w:val="7030A0"/>
          <w:sz w:val="28"/>
          <w:szCs w:val="20"/>
        </w:rPr>
      </w:pPr>
    </w:p>
    <w:p w:rsidR="003D71F3" w:rsidRDefault="003D71F3">
      <w:pPr>
        <w:rPr>
          <w:rFonts w:ascii="Arial Gras" w:hAnsi="Arial Gras"/>
          <w:b/>
          <w:bCs/>
          <w:smallCaps/>
          <w:color w:val="7030A0"/>
          <w:sz w:val="28"/>
          <w:szCs w:val="20"/>
        </w:rPr>
      </w:pPr>
      <w:r>
        <w:br w:type="page"/>
      </w:r>
    </w:p>
    <w:p w:rsidR="00101D31" w:rsidRPr="003D71F3" w:rsidRDefault="00101D31" w:rsidP="00101D31">
      <w:pPr>
        <w:pStyle w:val="StyleStyle1EncadrementSimpleAutomatique05ptpaisseu"/>
        <w:rPr>
          <w:lang w:val="fr-FR"/>
        </w:rPr>
      </w:pPr>
      <w:bookmarkStart w:id="7" w:name="_Toc43490065"/>
      <w:r w:rsidRPr="003D71F3">
        <w:rPr>
          <w:lang w:val="fr-FR"/>
        </w:rPr>
        <w:lastRenderedPageBreak/>
        <w:t>Identification et chainage des transactions</w:t>
      </w:r>
      <w:bookmarkEnd w:id="7"/>
    </w:p>
    <w:p w:rsidR="00101D31" w:rsidRDefault="00101D31" w:rsidP="00C831C8"/>
    <w:p w:rsidR="00FD5059" w:rsidRDefault="00FD5059" w:rsidP="00FD505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Plusieurs données pour identifier une transaction</w:t>
      </w:r>
    </w:p>
    <w:p w:rsidR="00FD5059" w:rsidRDefault="00FD5059" w:rsidP="00FD5059">
      <w:pPr>
        <w:rPr>
          <w:rFonts w:ascii="Arial" w:hAnsi="Arial" w:cs="Arial"/>
          <w:szCs w:val="20"/>
        </w:rPr>
      </w:pPr>
    </w:p>
    <w:p w:rsidR="00FD5059" w:rsidRPr="0099311C" w:rsidRDefault="00FD5059" w:rsidP="00FD5059">
      <w:pPr>
        <w:rPr>
          <w:rFonts w:ascii="Arial" w:hAnsi="Arial" w:cs="Arial"/>
          <w:b/>
          <w:bCs/>
          <w:szCs w:val="20"/>
        </w:rPr>
      </w:pPr>
      <w:r w:rsidRPr="0099311C">
        <w:rPr>
          <w:rFonts w:ascii="Arial" w:hAnsi="Arial" w:cs="Arial"/>
          <w:b/>
          <w:bCs/>
          <w:szCs w:val="20"/>
        </w:rPr>
        <w:t>Domaine accepteur/acquéreur</w:t>
      </w:r>
    </w:p>
    <w:p w:rsidR="00FD5059" w:rsidRDefault="00FD5059" w:rsidP="00FD505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Sur le domaine accepteur / acquéreur, l’accepteur positionne plusieurs informations qui permettent d’identifier de façon unique une transaction :</w:t>
      </w:r>
    </w:p>
    <w:p w:rsidR="00FD5059" w:rsidRPr="0099311C" w:rsidRDefault="00FD5059" w:rsidP="00FD5059">
      <w:pPr>
        <w:pStyle w:val="Paragraphedeliste"/>
        <w:numPr>
          <w:ilvl w:val="0"/>
          <w:numId w:val="36"/>
        </w:num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 xml:space="preserve">Numéro d’audit ou System Trace Audit </w:t>
      </w:r>
      <w:proofErr w:type="spellStart"/>
      <w:r w:rsidRPr="0099311C">
        <w:rPr>
          <w:rFonts w:ascii="Arial" w:hAnsi="Arial" w:cs="Arial"/>
          <w:szCs w:val="20"/>
        </w:rPr>
        <w:t>Number</w:t>
      </w:r>
      <w:proofErr w:type="spellEnd"/>
      <w:r w:rsidRPr="0099311C">
        <w:rPr>
          <w:rFonts w:ascii="Arial" w:hAnsi="Arial" w:cs="Arial"/>
          <w:szCs w:val="20"/>
        </w:rPr>
        <w:t xml:space="preserve"> ou STAN, géré par le système de l’accepteur.</w:t>
      </w:r>
    </w:p>
    <w:p w:rsidR="00FD5059" w:rsidRDefault="00FD5059" w:rsidP="00FD5059">
      <w:pPr>
        <w:pStyle w:val="Paragraphedeliste"/>
        <w:numPr>
          <w:ilvl w:val="0"/>
          <w:numId w:val="36"/>
        </w:num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>Date et heure locale de la transaction générée par le système d’acceptation et qui ne peut être modifiée</w:t>
      </w:r>
    </w:p>
    <w:p w:rsidR="00FD5059" w:rsidRDefault="00FD5059" w:rsidP="00FD5059">
      <w:pPr>
        <w:pStyle w:val="Paragraphedeliste"/>
        <w:numPr>
          <w:ilvl w:val="0"/>
          <w:numId w:val="3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Référence d’archivage positionnée par l’accepteur comme référence de la transaction. Souvent attendue en restitution crédits commerçant des remises par l’accepteur.</w:t>
      </w:r>
    </w:p>
    <w:p w:rsidR="00FD5059" w:rsidRDefault="00FD5059" w:rsidP="00FD5059">
      <w:pPr>
        <w:pStyle w:val="Paragraphedeliste"/>
        <w:ind w:left="36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Rq</w:t>
      </w:r>
      <w:proofErr w:type="spellEnd"/>
      <w:r>
        <w:rPr>
          <w:rFonts w:ascii="Arial" w:hAnsi="Arial" w:cs="Arial"/>
          <w:szCs w:val="20"/>
        </w:rPr>
        <w:t> : cette r</w:t>
      </w:r>
      <w:r w:rsidR="003D71F3">
        <w:rPr>
          <w:rFonts w:ascii="Arial" w:hAnsi="Arial" w:cs="Arial"/>
          <w:szCs w:val="20"/>
        </w:rPr>
        <w:t>é</w:t>
      </w:r>
      <w:r>
        <w:rPr>
          <w:rFonts w:ascii="Arial" w:hAnsi="Arial" w:cs="Arial"/>
          <w:szCs w:val="20"/>
        </w:rPr>
        <w:t>f n’a pas nécessairement de valeur en dehors du domaine accepteur/acquéreur.</w:t>
      </w:r>
    </w:p>
    <w:p w:rsidR="00FD5059" w:rsidRDefault="00FD5059" w:rsidP="00FD5059">
      <w:pPr>
        <w:pStyle w:val="Paragraphedeliste"/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C’est pourquoi il existe un autre identifiant unique.</w:t>
      </w:r>
    </w:p>
    <w:p w:rsidR="00FD5059" w:rsidRDefault="00FD5059" w:rsidP="00FD5059">
      <w:pPr>
        <w:rPr>
          <w:rFonts w:ascii="Arial" w:hAnsi="Arial" w:cs="Arial"/>
          <w:szCs w:val="20"/>
        </w:rPr>
      </w:pPr>
    </w:p>
    <w:p w:rsidR="00FD5059" w:rsidRDefault="00FD5059" w:rsidP="00FD5059">
      <w:pPr>
        <w:rPr>
          <w:rFonts w:ascii="Arial" w:hAnsi="Arial" w:cs="Arial"/>
          <w:b/>
          <w:bCs/>
          <w:szCs w:val="20"/>
        </w:rPr>
      </w:pPr>
    </w:p>
    <w:p w:rsidR="00FD5059" w:rsidRPr="0099311C" w:rsidRDefault="00FD5059" w:rsidP="00FD5059">
      <w:pPr>
        <w:rPr>
          <w:rFonts w:ascii="Arial" w:hAnsi="Arial" w:cs="Arial"/>
          <w:b/>
          <w:bCs/>
          <w:szCs w:val="20"/>
        </w:rPr>
      </w:pPr>
      <w:r w:rsidRPr="0099311C">
        <w:rPr>
          <w:rFonts w:ascii="Arial" w:hAnsi="Arial" w:cs="Arial"/>
          <w:b/>
          <w:bCs/>
          <w:szCs w:val="20"/>
        </w:rPr>
        <w:t xml:space="preserve">Sur le domaine interbancaire entre acquéreur, </w:t>
      </w:r>
      <w:proofErr w:type="spellStart"/>
      <w:r w:rsidRPr="0099311C">
        <w:rPr>
          <w:rFonts w:ascii="Arial" w:hAnsi="Arial" w:cs="Arial"/>
          <w:b/>
          <w:bCs/>
          <w:szCs w:val="20"/>
        </w:rPr>
        <w:t>scheme</w:t>
      </w:r>
      <w:proofErr w:type="spellEnd"/>
      <w:r w:rsidRPr="0099311C">
        <w:rPr>
          <w:rFonts w:ascii="Arial" w:hAnsi="Arial" w:cs="Arial"/>
          <w:b/>
          <w:bCs/>
          <w:szCs w:val="20"/>
        </w:rPr>
        <w:t xml:space="preserve"> et émetteur, </w:t>
      </w:r>
    </w:p>
    <w:p w:rsidR="00FD5059" w:rsidRDefault="00FD5059" w:rsidP="00FD5059">
      <w:p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 xml:space="preserve">Pour les </w:t>
      </w:r>
      <w:proofErr w:type="spellStart"/>
      <w:r w:rsidRPr="0099311C">
        <w:rPr>
          <w:rFonts w:ascii="Arial" w:hAnsi="Arial" w:cs="Arial"/>
          <w:szCs w:val="20"/>
        </w:rPr>
        <w:t>schemes</w:t>
      </w:r>
      <w:proofErr w:type="spellEnd"/>
      <w:r w:rsidRPr="0099311C">
        <w:rPr>
          <w:rFonts w:ascii="Arial" w:hAnsi="Arial" w:cs="Arial"/>
          <w:szCs w:val="20"/>
        </w:rPr>
        <w:t xml:space="preserve"> qui mettent en place un mécanisme d’identification,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chaque transaction autorisée possède son identifiant unique.</w:t>
      </w:r>
    </w:p>
    <w:p w:rsidR="00FD5059" w:rsidRDefault="00FD5059" w:rsidP="00FD5059">
      <w:p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>Cette donnée peut être fournie par un émetteur (CB) ou un réseau (Visa,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Mastercard, Discover, AMEX) dans les réponses à demande d’autorisation</w:t>
      </w:r>
      <w:r>
        <w:rPr>
          <w:rFonts w:ascii="Arial" w:hAnsi="Arial" w:cs="Arial"/>
          <w:szCs w:val="20"/>
        </w:rPr>
        <w:t>.</w:t>
      </w:r>
    </w:p>
    <w:p w:rsidR="00FD5059" w:rsidRDefault="00FD5059" w:rsidP="00FD5059">
      <w:pPr>
        <w:rPr>
          <w:rFonts w:ascii="Arial" w:hAnsi="Arial" w:cs="Arial"/>
          <w:szCs w:val="20"/>
        </w:rPr>
      </w:pPr>
    </w:p>
    <w:p w:rsidR="00FD5059" w:rsidRDefault="00FD5059" w:rsidP="00FD505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Elle est r</w:t>
      </w:r>
      <w:r w:rsidRPr="0099311C">
        <w:rPr>
          <w:rFonts w:ascii="Arial" w:hAnsi="Arial" w:cs="Arial"/>
          <w:szCs w:val="20"/>
        </w:rPr>
        <w:t>estituée dans le mouvement de compensation liée à la transaction autorisée</w:t>
      </w:r>
      <w:r>
        <w:rPr>
          <w:rFonts w:ascii="Arial" w:hAnsi="Arial" w:cs="Arial"/>
          <w:szCs w:val="20"/>
        </w:rPr>
        <w:t xml:space="preserve">. </w:t>
      </w:r>
    </w:p>
    <w:p w:rsidR="00FD5059" w:rsidRDefault="00FD5059" w:rsidP="00FD505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Cette </w:t>
      </w:r>
      <w:r w:rsidRPr="0099311C">
        <w:rPr>
          <w:rFonts w:ascii="Arial" w:hAnsi="Arial" w:cs="Arial"/>
          <w:szCs w:val="20"/>
        </w:rPr>
        <w:t>référence permet à l’émetteur, en croisant le mouvement de compensation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avec l’historique d’autorisation, d’avoir des informations supplémentaires sur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la transaction</w:t>
      </w:r>
      <w:r>
        <w:rPr>
          <w:rFonts w:ascii="Arial" w:hAnsi="Arial" w:cs="Arial"/>
          <w:szCs w:val="20"/>
        </w:rPr>
        <w:t>.</w:t>
      </w:r>
    </w:p>
    <w:p w:rsidR="00101D31" w:rsidRDefault="00101D31" w:rsidP="00C831C8"/>
    <w:p w:rsidR="00FD5059" w:rsidRDefault="00FD5059" w:rsidP="00C831C8"/>
    <w:p w:rsidR="0087477E" w:rsidRPr="0099311C" w:rsidRDefault="0087477E" w:rsidP="0087477E">
      <w:pPr>
        <w:rPr>
          <w:rFonts w:ascii="Arial" w:hAnsi="Arial" w:cs="Arial"/>
          <w:b/>
          <w:bCs/>
          <w:szCs w:val="20"/>
        </w:rPr>
      </w:pPr>
      <w:r w:rsidRPr="0099311C">
        <w:rPr>
          <w:rFonts w:ascii="Arial" w:hAnsi="Arial" w:cs="Arial"/>
          <w:b/>
          <w:bCs/>
          <w:szCs w:val="20"/>
        </w:rPr>
        <w:t xml:space="preserve">Chaînage des transactions </w:t>
      </w:r>
    </w:p>
    <w:p w:rsidR="0087477E" w:rsidRDefault="0087477E" w:rsidP="0087477E">
      <w:pPr>
        <w:rPr>
          <w:rFonts w:ascii="Arial" w:hAnsi="Arial" w:cs="Arial"/>
          <w:szCs w:val="20"/>
        </w:rPr>
      </w:pPr>
    </w:p>
    <w:p w:rsidR="0087477E" w:rsidRDefault="0087477E" w:rsidP="0087477E">
      <w:p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 xml:space="preserve">Pour les </w:t>
      </w:r>
      <w:proofErr w:type="spellStart"/>
      <w:r w:rsidRPr="0099311C">
        <w:rPr>
          <w:rFonts w:ascii="Arial" w:hAnsi="Arial" w:cs="Arial"/>
          <w:szCs w:val="20"/>
        </w:rPr>
        <w:t>schemes</w:t>
      </w:r>
      <w:proofErr w:type="spellEnd"/>
      <w:r w:rsidRPr="0099311C">
        <w:rPr>
          <w:rFonts w:ascii="Arial" w:hAnsi="Arial" w:cs="Arial"/>
          <w:szCs w:val="20"/>
        </w:rPr>
        <w:t xml:space="preserve"> qui ont mis en place un mécanisme d’identification de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chaque transaction, il devient possible de relier entre elles une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transaction MIT (Merchant-</w:t>
      </w:r>
      <w:proofErr w:type="spellStart"/>
      <w:r w:rsidRPr="0099311C">
        <w:rPr>
          <w:rFonts w:ascii="Arial" w:hAnsi="Arial" w:cs="Arial"/>
          <w:szCs w:val="20"/>
        </w:rPr>
        <w:t>Initiated</w:t>
      </w:r>
      <w:proofErr w:type="spellEnd"/>
      <w:r w:rsidRPr="0099311C">
        <w:rPr>
          <w:rFonts w:ascii="Arial" w:hAnsi="Arial" w:cs="Arial"/>
          <w:szCs w:val="20"/>
        </w:rPr>
        <w:t xml:space="preserve"> Transaction) avec sa transaction CIT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(Customer-</w:t>
      </w:r>
      <w:proofErr w:type="spellStart"/>
      <w:r w:rsidRPr="0099311C">
        <w:rPr>
          <w:rFonts w:ascii="Arial" w:hAnsi="Arial" w:cs="Arial"/>
          <w:szCs w:val="20"/>
        </w:rPr>
        <w:t>Initiated</w:t>
      </w:r>
      <w:proofErr w:type="spellEnd"/>
      <w:r w:rsidRPr="0099311C">
        <w:rPr>
          <w:rFonts w:ascii="Arial" w:hAnsi="Arial" w:cs="Arial"/>
          <w:szCs w:val="20"/>
        </w:rPr>
        <w:t xml:space="preserve"> Transaction) d’origine</w:t>
      </w:r>
      <w:r>
        <w:rPr>
          <w:rFonts w:ascii="Arial" w:hAnsi="Arial" w:cs="Arial"/>
          <w:szCs w:val="20"/>
        </w:rPr>
        <w:t>.</w:t>
      </w:r>
    </w:p>
    <w:p w:rsidR="0087477E" w:rsidRDefault="0087477E" w:rsidP="0087477E">
      <w:pPr>
        <w:rPr>
          <w:rFonts w:ascii="Arial" w:hAnsi="Arial" w:cs="Arial"/>
          <w:szCs w:val="20"/>
        </w:rPr>
      </w:pPr>
      <w:r w:rsidRPr="0099311C">
        <w:rPr>
          <w:rFonts w:ascii="Arial" w:hAnsi="Arial" w:cs="Arial"/>
          <w:szCs w:val="20"/>
        </w:rPr>
        <w:t>La « Référence unique de transaction » de la CIT d’origine est restituée dans la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transaction MIT subséquente dans le container nommé « Identifiant de</w:t>
      </w:r>
      <w:r>
        <w:rPr>
          <w:rFonts w:ascii="Arial" w:hAnsi="Arial" w:cs="Arial"/>
          <w:szCs w:val="20"/>
        </w:rPr>
        <w:t xml:space="preserve"> </w:t>
      </w:r>
      <w:r w:rsidRPr="0099311C">
        <w:rPr>
          <w:rFonts w:ascii="Arial" w:hAnsi="Arial" w:cs="Arial"/>
          <w:szCs w:val="20"/>
        </w:rPr>
        <w:t>regroupement » ou « Référence de la transaction d’origine ».</w:t>
      </w:r>
    </w:p>
    <w:p w:rsidR="0087477E" w:rsidRDefault="0087477E" w:rsidP="0087477E">
      <w:pPr>
        <w:rPr>
          <w:rFonts w:ascii="Arial" w:hAnsi="Arial" w:cs="Arial"/>
          <w:szCs w:val="20"/>
        </w:rPr>
      </w:pPr>
    </w:p>
    <w:p w:rsidR="0087477E" w:rsidRDefault="0087477E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Ce chaînage est déjà mis en œuvre sur les transactions de commerce électronique et sur les transactions Open Payment.</w:t>
      </w:r>
    </w:p>
    <w:p w:rsidR="0087477E" w:rsidRDefault="0087477E" w:rsidP="0087477E">
      <w:pPr>
        <w:rPr>
          <w:rFonts w:ascii="Arial" w:hAnsi="Arial" w:cs="Arial"/>
          <w:szCs w:val="20"/>
        </w:rPr>
      </w:pPr>
    </w:p>
    <w:p w:rsidR="00AE4A90" w:rsidRDefault="00AE4A90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Dans le protocole CB2A :</w:t>
      </w:r>
    </w:p>
    <w:p w:rsidR="00AE4A90" w:rsidRDefault="00AE4A90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 le champ 47.95 véhicule la référence unique de transaction</w:t>
      </w:r>
    </w:p>
    <w:p w:rsidR="00AE4A90" w:rsidRDefault="00AE4A90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- le champ 47.99 véhicule la référence de la transaction d’origine et est un identifiant de regroupement des transactions chainées.</w:t>
      </w:r>
    </w:p>
    <w:p w:rsidR="0087477E" w:rsidRDefault="0087477E" w:rsidP="0087477E">
      <w:pPr>
        <w:rPr>
          <w:rFonts w:ascii="Arial" w:hAnsi="Arial" w:cs="Arial"/>
          <w:szCs w:val="20"/>
        </w:rPr>
      </w:pPr>
    </w:p>
    <w:p w:rsidR="0002378F" w:rsidRDefault="0002378F" w:rsidP="0087477E">
      <w:pPr>
        <w:rPr>
          <w:rFonts w:ascii="Arial" w:hAnsi="Arial" w:cs="Arial"/>
          <w:szCs w:val="20"/>
        </w:rPr>
      </w:pPr>
    </w:p>
    <w:p w:rsidR="0002378F" w:rsidRDefault="0002378F" w:rsidP="0002378F"/>
    <w:p w:rsidR="0002378F" w:rsidRDefault="0002378F" w:rsidP="0002378F">
      <w:pPr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25732758" wp14:editId="4DB91F61">
            <wp:extent cx="5731510" cy="3213100"/>
            <wp:effectExtent l="0" t="0" r="254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8F" w:rsidRDefault="0002378F" w:rsidP="0002378F">
      <w:pPr>
        <w:rPr>
          <w:rFonts w:ascii="Arial" w:hAnsi="Arial" w:cs="Arial"/>
          <w:szCs w:val="20"/>
        </w:rPr>
      </w:pPr>
    </w:p>
    <w:p w:rsidR="0002378F" w:rsidRDefault="0002378F" w:rsidP="0002378F">
      <w:pPr>
        <w:rPr>
          <w:rFonts w:ascii="Arial" w:hAnsi="Arial" w:cs="Arial"/>
          <w:szCs w:val="20"/>
        </w:rPr>
      </w:pPr>
    </w:p>
    <w:p w:rsidR="0002378F" w:rsidRDefault="0002378F" w:rsidP="0002378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1F59FDC" wp14:editId="570289AC">
            <wp:extent cx="5731510" cy="134366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8F" w:rsidRDefault="0002378F" w:rsidP="0002378F"/>
    <w:p w:rsidR="0002378F" w:rsidRDefault="0002378F" w:rsidP="0087477E">
      <w:pPr>
        <w:rPr>
          <w:rFonts w:ascii="Arial" w:hAnsi="Arial" w:cs="Arial"/>
          <w:szCs w:val="20"/>
        </w:rPr>
      </w:pPr>
    </w:p>
    <w:p w:rsidR="0002378F" w:rsidRDefault="0002378F" w:rsidP="0087477E">
      <w:pPr>
        <w:rPr>
          <w:rFonts w:ascii="Arial" w:hAnsi="Arial" w:cs="Arial"/>
          <w:szCs w:val="20"/>
        </w:rPr>
      </w:pPr>
    </w:p>
    <w:p w:rsidR="0087477E" w:rsidRPr="00AE4A90" w:rsidRDefault="0087477E" w:rsidP="0087477E">
      <w:pPr>
        <w:rPr>
          <w:rFonts w:ascii="Arial" w:hAnsi="Arial" w:cs="Arial"/>
          <w:szCs w:val="20"/>
          <w:u w:val="single"/>
        </w:rPr>
      </w:pPr>
      <w:r w:rsidRPr="00AE4A90">
        <w:rPr>
          <w:rFonts w:ascii="Arial" w:hAnsi="Arial" w:cs="Arial"/>
          <w:szCs w:val="20"/>
          <w:u w:val="single"/>
        </w:rPr>
        <w:t xml:space="preserve">Evolutions CB2A pour </w:t>
      </w:r>
      <w:proofErr w:type="spellStart"/>
      <w:r w:rsidRPr="00AE4A90">
        <w:rPr>
          <w:rFonts w:ascii="Arial" w:hAnsi="Arial" w:cs="Arial"/>
          <w:szCs w:val="20"/>
          <w:u w:val="single"/>
        </w:rPr>
        <w:t>scheme</w:t>
      </w:r>
      <w:proofErr w:type="spellEnd"/>
      <w:r w:rsidRPr="00AE4A90">
        <w:rPr>
          <w:rFonts w:ascii="Arial" w:hAnsi="Arial" w:cs="Arial"/>
          <w:szCs w:val="20"/>
          <w:u w:val="single"/>
        </w:rPr>
        <w:t xml:space="preserve"> CB</w:t>
      </w:r>
      <w:r w:rsidR="00AE4A90">
        <w:rPr>
          <w:rFonts w:ascii="Arial" w:hAnsi="Arial" w:cs="Arial"/>
          <w:szCs w:val="20"/>
          <w:u w:val="single"/>
        </w:rPr>
        <w:t xml:space="preserve"> = lien </w:t>
      </w:r>
      <w:proofErr w:type="spellStart"/>
      <w:r w:rsidR="00AE4A90">
        <w:rPr>
          <w:rFonts w:ascii="Arial" w:hAnsi="Arial" w:cs="Arial"/>
          <w:szCs w:val="20"/>
          <w:u w:val="single"/>
        </w:rPr>
        <w:t>autor</w:t>
      </w:r>
      <w:proofErr w:type="spellEnd"/>
      <w:r w:rsidR="00AE4A90">
        <w:rPr>
          <w:rFonts w:ascii="Arial" w:hAnsi="Arial" w:cs="Arial"/>
          <w:szCs w:val="20"/>
          <w:u w:val="single"/>
        </w:rPr>
        <w:t>/compensation</w:t>
      </w:r>
    </w:p>
    <w:p w:rsidR="0087477E" w:rsidRDefault="0087477E" w:rsidP="0087477E">
      <w:pPr>
        <w:rPr>
          <w:rFonts w:ascii="Arial" w:hAnsi="Arial" w:cs="Arial"/>
          <w:szCs w:val="20"/>
        </w:rPr>
      </w:pPr>
      <w:r w:rsidRPr="00532817">
        <w:rPr>
          <w:rFonts w:ascii="Arial" w:hAnsi="Arial" w:cs="Arial"/>
          <w:szCs w:val="20"/>
        </w:rPr>
        <w:t xml:space="preserve">Lien autorisation </w:t>
      </w:r>
      <w:r>
        <w:rPr>
          <w:rFonts w:ascii="Arial" w:hAnsi="Arial" w:cs="Arial"/>
          <w:szCs w:val="20"/>
        </w:rPr>
        <w:t>–</w:t>
      </w:r>
      <w:r w:rsidRPr="00532817">
        <w:rPr>
          <w:rFonts w:ascii="Arial" w:hAnsi="Arial" w:cs="Arial"/>
          <w:szCs w:val="20"/>
        </w:rPr>
        <w:t xml:space="preserve"> compensation</w:t>
      </w:r>
      <w:r>
        <w:rPr>
          <w:rFonts w:ascii="Arial" w:hAnsi="Arial" w:cs="Arial"/>
          <w:szCs w:val="20"/>
        </w:rPr>
        <w:t xml:space="preserve"> avec la g</w:t>
      </w:r>
      <w:r w:rsidRPr="00532817">
        <w:rPr>
          <w:rFonts w:ascii="Arial" w:hAnsi="Arial" w:cs="Arial"/>
          <w:szCs w:val="20"/>
        </w:rPr>
        <w:t>énéralisation de la génération par l’émetteur de la référence unique de</w:t>
      </w:r>
      <w:r>
        <w:rPr>
          <w:rFonts w:ascii="Arial" w:hAnsi="Arial" w:cs="Arial"/>
          <w:szCs w:val="20"/>
        </w:rPr>
        <w:t xml:space="preserve"> </w:t>
      </w:r>
      <w:r w:rsidRPr="00532817">
        <w:rPr>
          <w:rFonts w:ascii="Arial" w:hAnsi="Arial" w:cs="Arial"/>
          <w:szCs w:val="20"/>
        </w:rPr>
        <w:t>transaction pour tous les types de paiement (et plus seulement aux</w:t>
      </w:r>
      <w:r>
        <w:rPr>
          <w:rFonts w:ascii="Arial" w:hAnsi="Arial" w:cs="Arial"/>
          <w:szCs w:val="20"/>
        </w:rPr>
        <w:t xml:space="preserve"> </w:t>
      </w:r>
      <w:r w:rsidRPr="00532817">
        <w:rPr>
          <w:rFonts w:ascii="Arial" w:hAnsi="Arial" w:cs="Arial"/>
          <w:szCs w:val="20"/>
        </w:rPr>
        <w:t>transactions VADS).</w:t>
      </w:r>
      <w:r>
        <w:rPr>
          <w:rFonts w:ascii="Arial" w:hAnsi="Arial" w:cs="Arial"/>
          <w:szCs w:val="20"/>
        </w:rPr>
        <w:t xml:space="preserve"> </w:t>
      </w:r>
      <w:r w:rsidRPr="00532817">
        <w:rPr>
          <w:rFonts w:ascii="Arial" w:hAnsi="Arial" w:cs="Arial"/>
          <w:szCs w:val="20"/>
        </w:rPr>
        <w:t>Cette donnée alimentera le mouvement de compensation afin de pouvoir</w:t>
      </w:r>
      <w:r>
        <w:rPr>
          <w:rFonts w:ascii="Arial" w:hAnsi="Arial" w:cs="Arial"/>
          <w:szCs w:val="20"/>
        </w:rPr>
        <w:t xml:space="preserve"> </w:t>
      </w:r>
      <w:r w:rsidRPr="00532817">
        <w:rPr>
          <w:rFonts w:ascii="Arial" w:hAnsi="Arial" w:cs="Arial"/>
          <w:szCs w:val="20"/>
        </w:rPr>
        <w:t>relier l’autorisation et la compensation</w:t>
      </w:r>
      <w:r>
        <w:rPr>
          <w:rFonts w:ascii="Arial" w:hAnsi="Arial" w:cs="Arial"/>
          <w:szCs w:val="20"/>
        </w:rPr>
        <w:t>.</w:t>
      </w:r>
    </w:p>
    <w:p w:rsidR="0087477E" w:rsidRDefault="0087477E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==&gt; Généralisation sur proximité TPE et automate</w:t>
      </w:r>
    </w:p>
    <w:p w:rsidR="0087477E" w:rsidRDefault="0087477E" w:rsidP="0087477E">
      <w:pPr>
        <w:rPr>
          <w:rFonts w:ascii="Arial" w:hAnsi="Arial" w:cs="Arial"/>
          <w:szCs w:val="20"/>
        </w:rPr>
      </w:pPr>
      <w:r>
        <w:t xml:space="preserve">==&gt; e-commerce : </w:t>
      </w:r>
      <w:r>
        <w:rPr>
          <w:rFonts w:ascii="Arial" w:hAnsi="Arial" w:cs="Arial"/>
          <w:szCs w:val="20"/>
        </w:rPr>
        <w:t>d</w:t>
      </w:r>
      <w:r w:rsidRPr="008F37DB">
        <w:rPr>
          <w:rFonts w:ascii="Arial" w:hAnsi="Arial" w:cs="Arial"/>
          <w:szCs w:val="20"/>
        </w:rPr>
        <w:t>es évolutions MPADS vont décrire l’utilisation de la référence unique de</w:t>
      </w:r>
      <w:r>
        <w:rPr>
          <w:rFonts w:ascii="Arial" w:hAnsi="Arial" w:cs="Arial"/>
          <w:szCs w:val="20"/>
        </w:rPr>
        <w:t xml:space="preserve"> </w:t>
      </w:r>
      <w:r w:rsidRPr="008F37DB">
        <w:rPr>
          <w:rFonts w:ascii="Arial" w:hAnsi="Arial" w:cs="Arial"/>
          <w:szCs w:val="20"/>
        </w:rPr>
        <w:t>transaction de la CIT comme identifiant de regroupement des MIT suivantes</w:t>
      </w:r>
    </w:p>
    <w:p w:rsidR="00FD5059" w:rsidRDefault="00FD5059" w:rsidP="00C831C8"/>
    <w:p w:rsidR="0087477E" w:rsidRPr="00AE4A90" w:rsidRDefault="0087477E" w:rsidP="0087477E">
      <w:pPr>
        <w:rPr>
          <w:u w:val="single"/>
        </w:rPr>
      </w:pPr>
      <w:r w:rsidRPr="00AE4A90">
        <w:rPr>
          <w:u w:val="single"/>
        </w:rPr>
        <w:t xml:space="preserve">Evolution CB2A pour exigence </w:t>
      </w:r>
      <w:proofErr w:type="spellStart"/>
      <w:r w:rsidRPr="00AE4A90">
        <w:rPr>
          <w:u w:val="single"/>
        </w:rPr>
        <w:t>scheme</w:t>
      </w:r>
      <w:proofErr w:type="spellEnd"/>
      <w:r w:rsidRPr="00AE4A90">
        <w:rPr>
          <w:u w:val="single"/>
        </w:rPr>
        <w:t xml:space="preserve"> CB</w:t>
      </w:r>
      <w:r w:rsidR="00AE4A90">
        <w:rPr>
          <w:u w:val="single"/>
        </w:rPr>
        <w:t xml:space="preserve"> = l</w:t>
      </w:r>
      <w:r w:rsidRPr="00AE4A90">
        <w:rPr>
          <w:rFonts w:ascii="Arial" w:hAnsi="Arial" w:cs="Arial"/>
          <w:szCs w:val="20"/>
          <w:u w:val="single"/>
        </w:rPr>
        <w:t>ien crédit</w:t>
      </w:r>
      <w:r w:rsidR="00AE4A90">
        <w:rPr>
          <w:rFonts w:ascii="Arial" w:hAnsi="Arial" w:cs="Arial"/>
          <w:szCs w:val="20"/>
          <w:u w:val="single"/>
        </w:rPr>
        <w:t>/</w:t>
      </w:r>
      <w:r w:rsidRPr="00AE4A90">
        <w:rPr>
          <w:rFonts w:ascii="Arial" w:hAnsi="Arial" w:cs="Arial"/>
          <w:szCs w:val="20"/>
          <w:u w:val="single"/>
        </w:rPr>
        <w:t>débit</w:t>
      </w:r>
    </w:p>
    <w:p w:rsidR="0087477E" w:rsidRPr="008F37DB" w:rsidRDefault="0087477E" w:rsidP="0087477E">
      <w:pPr>
        <w:rPr>
          <w:rFonts w:ascii="Arial" w:hAnsi="Arial" w:cs="Arial"/>
          <w:szCs w:val="20"/>
        </w:rPr>
      </w:pPr>
      <w:r w:rsidRPr="008F37DB">
        <w:rPr>
          <w:rFonts w:ascii="Arial" w:hAnsi="Arial" w:cs="Arial"/>
          <w:szCs w:val="20"/>
        </w:rPr>
        <w:t>Création d’une nouvelle donnée et d’un nouveau champ pour identifier dans</w:t>
      </w:r>
      <w:r>
        <w:rPr>
          <w:rFonts w:ascii="Arial" w:hAnsi="Arial" w:cs="Arial"/>
          <w:szCs w:val="20"/>
        </w:rPr>
        <w:t xml:space="preserve"> </w:t>
      </w:r>
      <w:r w:rsidRPr="008F37DB">
        <w:rPr>
          <w:rFonts w:ascii="Arial" w:hAnsi="Arial" w:cs="Arial"/>
          <w:szCs w:val="20"/>
        </w:rPr>
        <w:t>les transactions de crédit (autorisation, remise, compensation) la référence</w:t>
      </w:r>
      <w:r>
        <w:rPr>
          <w:rFonts w:ascii="Arial" w:hAnsi="Arial" w:cs="Arial"/>
          <w:szCs w:val="20"/>
        </w:rPr>
        <w:t xml:space="preserve"> </w:t>
      </w:r>
      <w:r w:rsidRPr="008F37DB">
        <w:rPr>
          <w:rFonts w:ascii="Arial" w:hAnsi="Arial" w:cs="Arial"/>
          <w:szCs w:val="20"/>
        </w:rPr>
        <w:t>unique de transaction de la transaction de débit qui est remboursée</w:t>
      </w:r>
      <w:r>
        <w:rPr>
          <w:rFonts w:ascii="Arial" w:hAnsi="Arial" w:cs="Arial"/>
          <w:szCs w:val="20"/>
        </w:rPr>
        <w:t>.</w:t>
      </w:r>
    </w:p>
    <w:p w:rsidR="0087477E" w:rsidRDefault="0087477E" w:rsidP="0087477E">
      <w:pPr>
        <w:rPr>
          <w:rFonts w:ascii="Arial" w:hAnsi="Arial" w:cs="Arial"/>
          <w:szCs w:val="20"/>
        </w:rPr>
      </w:pPr>
      <w:r w:rsidRPr="008F37DB">
        <w:rPr>
          <w:rFonts w:ascii="Arial" w:hAnsi="Arial" w:cs="Arial"/>
          <w:szCs w:val="20"/>
        </w:rPr>
        <w:t>La nécessité de disposer à la fois de l’identifiant de regroupement et de la</w:t>
      </w:r>
      <w:r>
        <w:rPr>
          <w:rFonts w:ascii="Arial" w:hAnsi="Arial" w:cs="Arial"/>
          <w:szCs w:val="20"/>
        </w:rPr>
        <w:t xml:space="preserve"> </w:t>
      </w:r>
      <w:r w:rsidRPr="008F37DB">
        <w:rPr>
          <w:rFonts w:ascii="Arial" w:hAnsi="Arial" w:cs="Arial"/>
          <w:szCs w:val="20"/>
        </w:rPr>
        <w:t>référence du débit à rembourser impose la création d’un nouveau container</w:t>
      </w:r>
      <w:r>
        <w:rPr>
          <w:rFonts w:ascii="Arial" w:hAnsi="Arial" w:cs="Arial"/>
          <w:szCs w:val="20"/>
        </w:rPr>
        <w:t xml:space="preserve"> </w:t>
      </w:r>
      <w:r w:rsidRPr="008F37DB">
        <w:rPr>
          <w:rFonts w:ascii="Arial" w:hAnsi="Arial" w:cs="Arial"/>
          <w:szCs w:val="20"/>
        </w:rPr>
        <w:t>pour véhiculer la référence du débit</w:t>
      </w:r>
    </w:p>
    <w:p w:rsidR="0087477E" w:rsidRDefault="0087477E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=&gt; Le GE demande que cette exigence reste optionnelle. Car cela crée de la </w:t>
      </w:r>
      <w:proofErr w:type="spellStart"/>
      <w:r>
        <w:rPr>
          <w:rFonts w:ascii="Arial" w:hAnsi="Arial" w:cs="Arial"/>
          <w:szCs w:val="20"/>
        </w:rPr>
        <w:t>loudeur</w:t>
      </w:r>
      <w:proofErr w:type="spellEnd"/>
      <w:r>
        <w:rPr>
          <w:rFonts w:ascii="Arial" w:hAnsi="Arial" w:cs="Arial"/>
          <w:szCs w:val="20"/>
        </w:rPr>
        <w:t xml:space="preserve"> sur les mécanismes de paiement. Cette demande semble lourde à gérer pour faciliter une gestion de litiges commerciaux. Est-ce bien nécessaire. Pb en proximité que ne pourra pas gérer le stockage de la </w:t>
      </w:r>
      <w:proofErr w:type="spellStart"/>
      <w:r>
        <w:rPr>
          <w:rFonts w:ascii="Arial" w:hAnsi="Arial" w:cs="Arial"/>
          <w:szCs w:val="20"/>
        </w:rPr>
        <w:t>ref</w:t>
      </w:r>
      <w:proofErr w:type="spellEnd"/>
      <w:r>
        <w:rPr>
          <w:rFonts w:ascii="Arial" w:hAnsi="Arial" w:cs="Arial"/>
          <w:szCs w:val="20"/>
        </w:rPr>
        <w:t xml:space="preserve"> de </w:t>
      </w:r>
      <w:proofErr w:type="spellStart"/>
      <w:r>
        <w:rPr>
          <w:rFonts w:ascii="Arial" w:hAnsi="Arial" w:cs="Arial"/>
          <w:szCs w:val="20"/>
        </w:rPr>
        <w:t>debit</w:t>
      </w:r>
      <w:proofErr w:type="spellEnd"/>
      <w:r>
        <w:rPr>
          <w:rFonts w:ascii="Arial" w:hAnsi="Arial" w:cs="Arial"/>
          <w:szCs w:val="20"/>
        </w:rPr>
        <w:t>.</w:t>
      </w:r>
    </w:p>
    <w:p w:rsidR="0087477E" w:rsidRDefault="0087477E" w:rsidP="0087477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=&gt; décision de préciser le contexte de restreint au MAPDS pour besoin </w:t>
      </w:r>
      <w:proofErr w:type="spellStart"/>
      <w:r>
        <w:rPr>
          <w:rFonts w:ascii="Arial" w:hAnsi="Arial" w:cs="Arial"/>
          <w:szCs w:val="20"/>
        </w:rPr>
        <w:t>scheme</w:t>
      </w:r>
      <w:proofErr w:type="spellEnd"/>
      <w:r>
        <w:rPr>
          <w:rFonts w:ascii="Arial" w:hAnsi="Arial" w:cs="Arial"/>
          <w:szCs w:val="20"/>
        </w:rPr>
        <w:t xml:space="preserve"> CB sur des certains paiements e-commerce</w:t>
      </w:r>
    </w:p>
    <w:p w:rsidR="0002378F" w:rsidRDefault="0002378F" w:rsidP="0087477E">
      <w:pPr>
        <w:rPr>
          <w:rFonts w:ascii="Arial" w:hAnsi="Arial" w:cs="Arial"/>
          <w:szCs w:val="20"/>
        </w:rPr>
      </w:pPr>
    </w:p>
    <w:p w:rsidR="0002378F" w:rsidRDefault="0002378F" w:rsidP="0087477E">
      <w:pPr>
        <w:rPr>
          <w:rFonts w:ascii="Arial" w:hAnsi="Arial" w:cs="Arial"/>
          <w:szCs w:val="20"/>
        </w:rPr>
      </w:pPr>
    </w:p>
    <w:p w:rsidR="0045406A" w:rsidRDefault="0045406A" w:rsidP="00C831C8"/>
    <w:p w:rsidR="0045406A" w:rsidRPr="00446360" w:rsidRDefault="0045406A" w:rsidP="0045406A">
      <w:pPr>
        <w:pStyle w:val="StyleStyle1EncadrementSimpleAutomatique05ptpaisseu"/>
        <w:rPr>
          <w:lang w:val="fr-FR"/>
        </w:rPr>
      </w:pPr>
      <w:bookmarkStart w:id="8" w:name="_Toc43490066"/>
      <w:r w:rsidRPr="00446360">
        <w:rPr>
          <w:lang w:val="fr-FR"/>
        </w:rPr>
        <w:lastRenderedPageBreak/>
        <w:t>Fin de l’impression systématique des tickets</w:t>
      </w:r>
      <w:bookmarkEnd w:id="8"/>
    </w:p>
    <w:p w:rsidR="0045406A" w:rsidRDefault="0045406A" w:rsidP="00C831C8"/>
    <w:p w:rsidR="0045406A" w:rsidRDefault="0045406A" w:rsidP="0045406A">
      <w:r>
        <w:t xml:space="preserve">La Loi n°2020 105 du 10 février 2020 relative à la « lutte contre le gaspillage et à l’économie circulaire » est parue le 11 février dernier au Journal </w:t>
      </w:r>
      <w:r w:rsidR="003D71F3">
        <w:t>Officiel. Le</w:t>
      </w:r>
      <w:r>
        <w:t xml:space="preserve"> décret qui précisera les derniers points sera publié 6 mois après parution (fin été 2020).</w:t>
      </w:r>
    </w:p>
    <w:p w:rsidR="0045406A" w:rsidRDefault="0045406A" w:rsidP="0045406A">
      <w:r>
        <w:t>=&gt; fin impression systématique ticket porteur =&gt; seulement sur demande du porteur</w:t>
      </w:r>
    </w:p>
    <w:p w:rsidR="0045406A" w:rsidRDefault="0045406A" w:rsidP="0045406A">
      <w:r>
        <w:t>=&gt; maintien impression du ticket commerçant</w:t>
      </w:r>
    </w:p>
    <w:p w:rsidR="0045406A" w:rsidRDefault="0045406A" w:rsidP="0045406A">
      <w:r>
        <w:t>=&gt; impacts MPE/MPA</w:t>
      </w:r>
    </w:p>
    <w:p w:rsidR="0045406A" w:rsidRDefault="0045406A" w:rsidP="0045406A">
      <w:r>
        <w:t>L’objectif visé est la prise en compte de l’évolution dans les référentiels de juin 2020.</w:t>
      </w:r>
    </w:p>
    <w:p w:rsidR="0045406A" w:rsidRDefault="0045406A" w:rsidP="0045406A"/>
    <w:p w:rsidR="00C55969" w:rsidRDefault="00C55969" w:rsidP="0045406A">
      <w:r w:rsidRPr="00C55969">
        <w:t xml:space="preserve">Au plus tard le 1 er janvier </w:t>
      </w:r>
      <w:r w:rsidR="003D71F3" w:rsidRPr="00C55969">
        <w:t>2023,</w:t>
      </w:r>
      <w:r w:rsidRPr="00C55969">
        <w:t xml:space="preserve"> sauf demande contraire du client, sont interdites </w:t>
      </w:r>
      <w:r>
        <w:t xml:space="preserve">les impressions systématiques des tickets de caisse, bancaire et de promotion. </w:t>
      </w:r>
    </w:p>
    <w:p w:rsidR="00C55969" w:rsidRDefault="00C55969" w:rsidP="0045406A">
      <w:r>
        <w:t>Ainsi il n’y aura plus d’impression des tickets porteurs sauf demande explicite de ce dernier.</w:t>
      </w:r>
    </w:p>
    <w:p w:rsidR="00C55969" w:rsidRDefault="00C55969" w:rsidP="0045406A">
      <w:r>
        <w:t xml:space="preserve"> </w:t>
      </w:r>
    </w:p>
    <w:p w:rsidR="0045406A" w:rsidRDefault="0045406A" w:rsidP="0045406A">
      <w:r>
        <w:t>Seulement 2 modes de fonctionnement sur les TPE (MPE/MPA)</w:t>
      </w:r>
    </w:p>
    <w:p w:rsidR="0045406A" w:rsidRDefault="0045406A" w:rsidP="0045406A">
      <w:r>
        <w:t>- impression ticket porteur systématique</w:t>
      </w:r>
    </w:p>
    <w:p w:rsidR="0045406A" w:rsidRDefault="0045406A" w:rsidP="0045406A">
      <w:r>
        <w:t>- impression ticket porteur sur demande du porteur</w:t>
      </w:r>
    </w:p>
    <w:p w:rsidR="0045406A" w:rsidRDefault="0045406A" w:rsidP="0045406A">
      <w:r>
        <w:t xml:space="preserve">Point d'attention sur le ticket commerçant : responsabilité de l'acquéreur vis à vis du commerçant selon les réglementations </w:t>
      </w:r>
      <w:proofErr w:type="spellStart"/>
      <w:r>
        <w:t>scheme</w:t>
      </w:r>
      <w:proofErr w:type="spellEnd"/>
    </w:p>
    <w:p w:rsidR="0045406A" w:rsidRDefault="0045406A" w:rsidP="0045406A">
      <w:r>
        <w:t>=&gt; ticket commerçant resterait à la main du TLP acquéreur.</w:t>
      </w:r>
    </w:p>
    <w:p w:rsidR="0045406A" w:rsidRDefault="0045406A" w:rsidP="0045406A">
      <w:r>
        <w:t xml:space="preserve">Impression ticket commerçant est un accord entre commerçant et acquéreur car il y a un risque en cas </w:t>
      </w:r>
      <w:r w:rsidR="003D71F3">
        <w:t>non-impression</w:t>
      </w:r>
      <w:r>
        <w:t xml:space="preserve"> du ticket qui est auj</w:t>
      </w:r>
      <w:r w:rsidR="003D71F3">
        <w:t>ourd’hui</w:t>
      </w:r>
      <w:r>
        <w:t xml:space="preserve"> une preuve notamment sur les transactions off-line.</w:t>
      </w:r>
    </w:p>
    <w:p w:rsidR="0045406A" w:rsidRDefault="0045406A" w:rsidP="0045406A"/>
    <w:p w:rsidR="0045406A" w:rsidRDefault="0045406A" w:rsidP="0045406A">
      <w:r>
        <w:t>En cas de dématérialisation, le paramétrage n'impose rien car conforme à la loi.</w:t>
      </w:r>
    </w:p>
    <w:p w:rsidR="0045406A" w:rsidRDefault="0045406A" w:rsidP="0045406A"/>
    <w:p w:rsidR="0045406A" w:rsidRDefault="0045406A" w:rsidP="0045406A"/>
    <w:p w:rsidR="0045406A" w:rsidRDefault="0045406A" w:rsidP="0045406A">
      <w:r>
        <w:t>Ce qui évolue…</w:t>
      </w:r>
    </w:p>
    <w:p w:rsidR="0045406A" w:rsidRDefault="0045406A" w:rsidP="0045406A">
      <w:r>
        <w:t>-&gt; Les tickets sont produits après enregistrement de la transaction (</w:t>
      </w:r>
      <w:proofErr w:type="spellStart"/>
      <w:r>
        <w:t>auj</w:t>
      </w:r>
      <w:proofErr w:type="spellEnd"/>
      <w:r>
        <w:t xml:space="preserve"> c'est avant dans </w:t>
      </w:r>
      <w:r w:rsidR="003D71F3">
        <w:t>les cinématiques</w:t>
      </w:r>
      <w:r>
        <w:t xml:space="preserve"> MPE)</w:t>
      </w:r>
    </w:p>
    <w:p w:rsidR="0045406A" w:rsidRDefault="0045406A" w:rsidP="0045406A">
      <w:r>
        <w:t>-&gt; Le ticket commerçant est produit avant le ticket porteur</w:t>
      </w:r>
    </w:p>
    <w:p w:rsidR="0045406A" w:rsidRDefault="0045406A" w:rsidP="0045406A">
      <w:r>
        <w:t>-&gt; Le ticket porteur peut être produit à la demande dans ce cas le choix porteur est saisi par le commerçant en fin de transaction</w:t>
      </w:r>
    </w:p>
    <w:p w:rsidR="0045406A" w:rsidRDefault="0045406A" w:rsidP="0045406A">
      <w:r>
        <w:t>-&gt; Le ticket commerçant peut ne pas être produit</w:t>
      </w:r>
    </w:p>
    <w:p w:rsidR="0045406A" w:rsidRDefault="0045406A" w:rsidP="0045406A">
      <w:r>
        <w:t>-&gt; Les modalités d’impression des tickets porteur et commerçant sont paramétrables par type de transaction (</w:t>
      </w:r>
      <w:proofErr w:type="spellStart"/>
      <w:r>
        <w:t>auj</w:t>
      </w:r>
      <w:proofErr w:type="spellEnd"/>
      <w:r>
        <w:t xml:space="preserve"> vrai seulement pour TNA)</w:t>
      </w:r>
    </w:p>
    <w:p w:rsidR="0045406A" w:rsidRDefault="0045406A" w:rsidP="0045406A">
      <w:r>
        <w:t>-&gt; Le choix du porteur est transmis à l’acquéreur et à l’émetteur en compensation</w:t>
      </w:r>
    </w:p>
    <w:p w:rsidR="0045406A" w:rsidRDefault="0045406A" w:rsidP="0045406A"/>
    <w:p w:rsidR="0045406A" w:rsidRDefault="0045406A" w:rsidP="0045406A">
      <w:r>
        <w:t>Quelques cas particuliers</w:t>
      </w:r>
      <w:r w:rsidR="003D71F3">
        <w:t> :</w:t>
      </w:r>
    </w:p>
    <w:p w:rsidR="0045406A" w:rsidRDefault="0045406A" w:rsidP="0045406A">
      <w:r>
        <w:t>Une transaction avec carte de test donne toujours lieu à un ticket commerçant et porteur</w:t>
      </w:r>
    </w:p>
    <w:p w:rsidR="0045406A" w:rsidRDefault="0045406A" w:rsidP="0045406A">
      <w:r>
        <w:t>Une transaction avec signature donne toujours lieu à un ticket commerçant</w:t>
      </w:r>
    </w:p>
    <w:p w:rsidR="0045406A" w:rsidRDefault="0045406A" w:rsidP="0045406A">
      <w:r>
        <w:t>Un ticket duplicata ne peut être fourni que pour un ticket qui a été effectivement produit</w:t>
      </w:r>
    </w:p>
    <w:p w:rsidR="0087477E" w:rsidRDefault="0045406A" w:rsidP="0045406A">
      <w:r>
        <w:t>Le solde sans contact n’est fourni au porteur que si un ticket est produit</w:t>
      </w:r>
    </w:p>
    <w:p w:rsidR="0045406A" w:rsidRDefault="0045406A" w:rsidP="00C831C8"/>
    <w:p w:rsidR="00C831C8" w:rsidRDefault="00C831C8" w:rsidP="00C831C8"/>
    <w:p w:rsidR="00D56D6C" w:rsidRDefault="00D56D6C">
      <w:r>
        <w:br w:type="page"/>
      </w:r>
    </w:p>
    <w:p w:rsidR="00D56D6C" w:rsidRDefault="00D56D6C" w:rsidP="00D56D6C">
      <w:pPr>
        <w:pStyle w:val="StyleStyle1EncadrementSimpleAutomatique05ptpaisseu"/>
      </w:pPr>
      <w:bookmarkStart w:id="9" w:name="_Toc43490067"/>
      <w:r>
        <w:lastRenderedPageBreak/>
        <w:t>Evolutions paramétrage</w:t>
      </w:r>
      <w:bookmarkEnd w:id="9"/>
    </w:p>
    <w:p w:rsidR="00D56D6C" w:rsidRDefault="00D56D6C" w:rsidP="00C831C8"/>
    <w:p w:rsidR="003D71F3" w:rsidRPr="009369B5" w:rsidRDefault="003D71F3" w:rsidP="003D71F3">
      <w:pPr>
        <w:pStyle w:val="Style2"/>
        <w:rPr>
          <w:lang w:val="fr-FR"/>
        </w:rPr>
      </w:pPr>
      <w:bookmarkStart w:id="10" w:name="_Toc43490068"/>
      <w:r w:rsidRPr="009369B5">
        <w:rPr>
          <w:lang w:val="fr-FR"/>
        </w:rPr>
        <w:t xml:space="preserve">Evolutions dans les tables EMV et </w:t>
      </w:r>
      <w:r w:rsidR="009369B5" w:rsidRPr="009369B5">
        <w:rPr>
          <w:lang w:val="fr-FR"/>
        </w:rPr>
        <w:t>N</w:t>
      </w:r>
      <w:r w:rsidRPr="009369B5">
        <w:rPr>
          <w:lang w:val="fr-FR"/>
        </w:rPr>
        <w:t>exo diffusées en juin 2020</w:t>
      </w:r>
      <w:bookmarkEnd w:id="10"/>
    </w:p>
    <w:p w:rsidR="003D71F3" w:rsidRPr="009369B5" w:rsidRDefault="003D71F3" w:rsidP="003D71F3"/>
    <w:p w:rsidR="003D71F3" w:rsidRDefault="003D71F3" w:rsidP="003D71F3">
      <w:pPr>
        <w:pStyle w:val="Paragraphedeliste"/>
        <w:numPr>
          <w:ilvl w:val="0"/>
          <w:numId w:val="47"/>
        </w:numPr>
      </w:pPr>
      <w:bookmarkStart w:id="11" w:name="_Hlk43487546"/>
      <w:r>
        <w:t xml:space="preserve">Suppression AID Retrait </w:t>
      </w:r>
      <w:r w:rsidR="00315273">
        <w:t>Eurochèque</w:t>
      </w:r>
      <w:r>
        <w:t xml:space="preserve"> dans toutes les tables EMV (A000000010 1030)</w:t>
      </w:r>
    </w:p>
    <w:p w:rsidR="003D71F3" w:rsidRDefault="003D71F3" w:rsidP="003D71F3">
      <w:pPr>
        <w:pStyle w:val="Paragraphedeliste"/>
        <w:numPr>
          <w:ilvl w:val="0"/>
          <w:numId w:val="47"/>
        </w:numPr>
      </w:pPr>
      <w:r>
        <w:t>Suppression AVN Visa 8C et 8D dans la table des AID</w:t>
      </w:r>
    </w:p>
    <w:p w:rsidR="003D71F3" w:rsidRDefault="003D71F3" w:rsidP="003D71F3">
      <w:pPr>
        <w:pStyle w:val="Paragraphedeliste"/>
        <w:numPr>
          <w:ilvl w:val="0"/>
          <w:numId w:val="47"/>
        </w:numPr>
      </w:pPr>
      <w:r>
        <w:t>Suppression des clés obsolètes Visa (clé 07) et MasterCard (clé 04)</w:t>
      </w:r>
    </w:p>
    <w:p w:rsidR="003D71F3" w:rsidRDefault="003D71F3" w:rsidP="003D71F3">
      <w:pPr>
        <w:pStyle w:val="Paragraphedeliste"/>
        <w:numPr>
          <w:ilvl w:val="0"/>
          <w:numId w:val="47"/>
        </w:numPr>
      </w:pPr>
      <w:r>
        <w:t>Report date de fin de validité clés CB (clé 08), Visa (clé 09), MasterCard (clé 06)</w:t>
      </w:r>
    </w:p>
    <w:p w:rsidR="003D71F3" w:rsidRDefault="003D71F3" w:rsidP="003D71F3">
      <w:pPr>
        <w:pStyle w:val="Paragraphedeliste"/>
        <w:numPr>
          <w:ilvl w:val="0"/>
          <w:numId w:val="47"/>
        </w:numPr>
      </w:pPr>
      <w:r>
        <w:t>Mise à niveau des tables OSCAR (AID, AVN, Profils d’application, Clés)</w:t>
      </w:r>
      <w:bookmarkEnd w:id="11"/>
    </w:p>
    <w:p w:rsidR="003D71F3" w:rsidRDefault="003D71F3" w:rsidP="00D56D6C"/>
    <w:p w:rsidR="003D71F3" w:rsidRDefault="003D71F3" w:rsidP="00D56D6C"/>
    <w:p w:rsidR="00D56D6C" w:rsidRPr="003D71F3" w:rsidRDefault="00D56D6C" w:rsidP="00D56D6C">
      <w:pPr>
        <w:rPr>
          <w:b/>
          <w:bCs/>
        </w:rPr>
      </w:pPr>
      <w:bookmarkStart w:id="12" w:name="_Hlk43487787"/>
      <w:r w:rsidRPr="003D71F3">
        <w:rPr>
          <w:b/>
          <w:bCs/>
        </w:rPr>
        <w:t>Table des clés publiques (flux SICB CNFFH35)</w:t>
      </w:r>
    </w:p>
    <w:p w:rsidR="00D56D6C" w:rsidRDefault="00D56D6C" w:rsidP="00D56D6C">
      <w:r>
        <w:t>En septembre 2019 Mastercard (AN 1355) et Visa (VBN AI 08738) ont exprimé les 2 exigences vis à vis des acquéreurs</w:t>
      </w:r>
    </w:p>
    <w:p w:rsidR="00D56D6C" w:rsidRDefault="00D56D6C" w:rsidP="00D56D6C">
      <w:pPr>
        <w:pStyle w:val="Paragraphedeliste"/>
        <w:numPr>
          <w:ilvl w:val="0"/>
          <w:numId w:val="38"/>
        </w:numPr>
      </w:pPr>
      <w:r>
        <w:t>Mettre à jour sur les TPE la date d'expiration des clés MC et VISA 1984 bits au 31/12/2029</w:t>
      </w:r>
    </w:p>
    <w:p w:rsidR="009369B5" w:rsidRDefault="00D56D6C" w:rsidP="009369B5">
      <w:pPr>
        <w:pStyle w:val="Paragraphedeliste"/>
        <w:ind w:left="360"/>
      </w:pPr>
      <w:r>
        <w:t>S’assurer que seules 2 clés sont présentes sur les TPE la clé 1984 et la clé 1408 31/12/2024</w:t>
      </w:r>
    </w:p>
    <w:p w:rsidR="009369B5" w:rsidRDefault="00D56D6C" w:rsidP="009369B5">
      <w:pPr>
        <w:pStyle w:val="Paragraphedeliste"/>
        <w:numPr>
          <w:ilvl w:val="0"/>
          <w:numId w:val="38"/>
        </w:numPr>
      </w:pPr>
      <w:r>
        <w:t>Côté GCB, le calendrier des longueurs de clés RSA édition 2020 est :</w:t>
      </w:r>
    </w:p>
    <w:p w:rsidR="00D56D6C" w:rsidRDefault="00D56D6C" w:rsidP="009369B5">
      <w:pPr>
        <w:pStyle w:val="Paragraphedeliste"/>
        <w:ind w:left="360"/>
      </w:pPr>
      <w:r>
        <w:t>La date d'expiration de la clé d’AC CB 1984 bits est fixée par anticipation au 31/12/2029</w:t>
      </w:r>
    </w:p>
    <w:p w:rsidR="00D56D6C" w:rsidRDefault="00D56D6C" w:rsidP="00C831C8"/>
    <w:p w:rsidR="009507ED" w:rsidRPr="009369B5" w:rsidRDefault="009507ED" w:rsidP="009507ED">
      <w:pPr>
        <w:rPr>
          <w:b/>
          <w:bCs/>
        </w:rPr>
      </w:pPr>
      <w:r w:rsidRPr="009369B5">
        <w:rPr>
          <w:b/>
          <w:bCs/>
        </w:rPr>
        <w:t>Flux SICB CNFFHJ32 pour la table des AID</w:t>
      </w:r>
    </w:p>
    <w:p w:rsidR="009507ED" w:rsidRDefault="009507ED" w:rsidP="009507ED">
      <w:r>
        <w:t>-&gt; Suppression de l’AVN 0002 pour les AID CB (5 enregistrements supprimés)</w:t>
      </w:r>
    </w:p>
    <w:p w:rsidR="009507ED" w:rsidRDefault="009507ED" w:rsidP="009507ED">
      <w:r>
        <w:t xml:space="preserve">-&gt; Suppression de l’AID retrait Eurochèque (A000000010 1030) </w:t>
      </w:r>
    </w:p>
    <w:p w:rsidR="009507ED" w:rsidRDefault="009507ED" w:rsidP="009507ED">
      <w:r>
        <w:tab/>
        <w:t>=&gt; Les tables comportant ce RID doivent être mises à jour en conséquence : DOL, TAC, Application Label.</w:t>
      </w:r>
    </w:p>
    <w:p w:rsidR="009507ED" w:rsidRDefault="009507ED" w:rsidP="009507ED">
      <w:r>
        <w:tab/>
        <w:t xml:space="preserve">=&gt; Tables des DOL (flux SICB CNFFHJ31), table des TAC (flux SICB CNFFHJT3/CNFFHJ33), table Application Label (CNFFHJ34) pour suppression de l’AID </w:t>
      </w:r>
      <w:r>
        <w:tab/>
        <w:t>Retrait Eurochèque</w:t>
      </w:r>
    </w:p>
    <w:p w:rsidR="009507ED" w:rsidRDefault="009507ED" w:rsidP="009507ED">
      <w:r>
        <w:t>-&gt; Suppression des AVN 008C et 008D pour VISA</w:t>
      </w:r>
    </w:p>
    <w:p w:rsidR="009507ED" w:rsidRDefault="009507ED" w:rsidP="009507ED">
      <w:r>
        <w:t>-&gt; Conservation des AID retrait. Le flux SICB comporte les AID paiement ET/OU retrait, avec l’indication du code usage (paiement et retrait / paiement seul / retrait seul).</w:t>
      </w:r>
    </w:p>
    <w:p w:rsidR="009507ED" w:rsidRDefault="009507ED" w:rsidP="009507ED"/>
    <w:p w:rsidR="009507ED" w:rsidRDefault="009507ED" w:rsidP="009507ED">
      <w:r>
        <w:t xml:space="preserve">Flux SICB CNFFHJT3 (TAC avec CDA) et flux SICB CNFFHJ33 (TAC sans CDA) pour tables des TAC </w:t>
      </w:r>
    </w:p>
    <w:p w:rsidR="009507ED" w:rsidRDefault="009507ED" w:rsidP="009507ED">
      <w:r>
        <w:t>-&gt; La table CNFFHJ33 TAC sans CDA n’étant plus maintenue, FrenchSys souhaite arrêter sa diffusion.</w:t>
      </w:r>
    </w:p>
    <w:p w:rsidR="00C831C8" w:rsidRDefault="00C831C8" w:rsidP="00C831C8"/>
    <w:p w:rsidR="00315273" w:rsidRDefault="00315273" w:rsidP="00C831C8"/>
    <w:bookmarkEnd w:id="12"/>
    <w:p w:rsidR="009369B5" w:rsidRDefault="009369B5" w:rsidP="00C831C8"/>
    <w:p w:rsidR="009507ED" w:rsidRPr="009369B5" w:rsidRDefault="009369B5" w:rsidP="009369B5">
      <w:pPr>
        <w:pStyle w:val="Style2"/>
        <w:rPr>
          <w:lang w:val="fr-FR"/>
        </w:rPr>
      </w:pPr>
      <w:bookmarkStart w:id="13" w:name="_Toc43490069"/>
      <w:r w:rsidRPr="009369B5">
        <w:rPr>
          <w:lang w:val="fr-FR"/>
        </w:rPr>
        <w:t>Evolution concernant la priorité dans la table EMV des AID</w:t>
      </w:r>
      <w:bookmarkEnd w:id="13"/>
    </w:p>
    <w:p w:rsidR="009369B5" w:rsidRDefault="009369B5" w:rsidP="00C831C8"/>
    <w:p w:rsidR="009369B5" w:rsidRPr="007C62DF" w:rsidRDefault="009369B5" w:rsidP="009507ED">
      <w:pPr>
        <w:rPr>
          <w:b/>
          <w:bCs/>
          <w:i/>
          <w:iCs/>
        </w:rPr>
      </w:pPr>
      <w:r w:rsidRPr="007C62DF">
        <w:rPr>
          <w:b/>
          <w:bCs/>
          <w:i/>
          <w:iCs/>
        </w:rPr>
        <w:t xml:space="preserve">Cette évolution a un impact important sur la gestion du paramétrage </w:t>
      </w:r>
      <w:r w:rsidR="007C62DF">
        <w:rPr>
          <w:b/>
          <w:bCs/>
          <w:i/>
          <w:iCs/>
        </w:rPr>
        <w:t>dans MOCA Table 20</w:t>
      </w:r>
      <w:r w:rsidRPr="007C62DF">
        <w:rPr>
          <w:b/>
          <w:bCs/>
          <w:i/>
          <w:iCs/>
        </w:rPr>
        <w:t>.</w:t>
      </w:r>
    </w:p>
    <w:p w:rsidR="009369B5" w:rsidRDefault="009369B5" w:rsidP="009507ED"/>
    <w:p w:rsidR="009369B5" w:rsidRDefault="009369B5" w:rsidP="009507ED">
      <w:r>
        <w:t xml:space="preserve">Flux SICB concerné </w:t>
      </w:r>
      <w:r w:rsidR="009507ED">
        <w:t xml:space="preserve">CNFFHJ32 </w:t>
      </w:r>
      <w:r>
        <w:t>= table EMV des AID</w:t>
      </w:r>
    </w:p>
    <w:p w:rsidR="009507ED" w:rsidRDefault="009507ED" w:rsidP="009507ED">
      <w:r>
        <w:t xml:space="preserve">FrenchSys dans un souci de neutralité ne va plus valoriser le niveau de priorité le plus élevé (FE) et les AID MC et VISA ont le niveau : 7F. A partir de la diffusion SICB de fin juin 2020, les niveaux de priorités des AID seront valorisés à 0 pour tous les </w:t>
      </w:r>
      <w:r w:rsidR="0070711D">
        <w:t>AID,</w:t>
      </w:r>
    </w:p>
    <w:p w:rsidR="009507ED" w:rsidRDefault="0070711D" w:rsidP="009507ED">
      <w:r>
        <w:t>Charge</w:t>
      </w:r>
      <w:r w:rsidR="009507ED">
        <w:t xml:space="preserve"> à chaque acquéreur de la renseigner.</w:t>
      </w:r>
    </w:p>
    <w:p w:rsidR="009507ED" w:rsidRDefault="009507ED" w:rsidP="009507ED"/>
    <w:p w:rsidR="009507ED" w:rsidRDefault="009507ED" w:rsidP="009507ED">
      <w:r>
        <w:t>=&gt; Impact sur la gestion de la table dans MOCA pour alimenter le réseau préférentiel.</w:t>
      </w:r>
    </w:p>
    <w:p w:rsidR="009507ED" w:rsidRDefault="009507ED" w:rsidP="009507ED">
      <w:r>
        <w:t xml:space="preserve">=&gt; Depuis la dernière réglementation européenne, le commerçant peut définir de </w:t>
      </w:r>
      <w:r w:rsidR="009369B5">
        <w:t>manière</w:t>
      </w:r>
      <w:r>
        <w:t xml:space="preserve"> contractuelle son réseau préférentiel afin de bénéficier des </w:t>
      </w:r>
      <w:r w:rsidR="009369B5">
        <w:t>éventuels</w:t>
      </w:r>
      <w:r>
        <w:t xml:space="preserve"> avantages négociés avec les résea</w:t>
      </w:r>
      <w:r w:rsidR="009369B5">
        <w:t>u</w:t>
      </w:r>
      <w:r>
        <w:t>x</w:t>
      </w:r>
      <w:r w:rsidR="009369B5">
        <w:t>.</w:t>
      </w:r>
    </w:p>
    <w:p w:rsidR="009507ED" w:rsidRDefault="009507ED" w:rsidP="009507ED">
      <w:r>
        <w:t>=&gt; Faire un lien avec le référentiel contrat qui gère et stocke le réseau p</w:t>
      </w:r>
      <w:r w:rsidR="003C5CF1">
        <w:t>r</w:t>
      </w:r>
      <w:r>
        <w:t xml:space="preserve">éférentiel </w:t>
      </w:r>
      <w:r w:rsidR="003C5CF1">
        <w:t>exprimé par le commerçant</w:t>
      </w:r>
    </w:p>
    <w:p w:rsidR="003C5CF1" w:rsidRDefault="003C5CF1" w:rsidP="009507ED">
      <w:r>
        <w:t>=&gt; Diffusion de l’information du référentiel dans le flux CTC9+MOCA</w:t>
      </w:r>
    </w:p>
    <w:p w:rsidR="003C5CF1" w:rsidRDefault="003C5CF1" w:rsidP="009507ED"/>
    <w:p w:rsidR="00C233D2" w:rsidRDefault="007C62DF" w:rsidP="009507ED">
      <w:r>
        <w:t>L’évolution sera menée par FrenchSys dans le cadre de la release d’octobre 2020.</w:t>
      </w:r>
    </w:p>
    <w:p w:rsidR="007C62DF" w:rsidRDefault="007C62DF" w:rsidP="007C62DF">
      <w:r>
        <w:t>Cependant comme les acquéreurs ont remonté que la gestion des impacts nécessite un délai de mise en œuvre supplémentaire, FrenchSys a indiqué le maintient de l’ancien flux afin de donner aux banques le temps pour mettre en place les actions nécessaires.</w:t>
      </w:r>
    </w:p>
    <w:p w:rsidR="00315273" w:rsidRDefault="00315273" w:rsidP="007C62DF"/>
    <w:p w:rsidR="00315273" w:rsidRDefault="00315273" w:rsidP="007C62DF"/>
    <w:p w:rsidR="007C62DF" w:rsidRDefault="007C62DF" w:rsidP="007C62DF">
      <w:pPr>
        <w:pStyle w:val="Style2"/>
      </w:pPr>
      <w:bookmarkStart w:id="14" w:name="_Toc43490070"/>
      <w:r>
        <w:t xml:space="preserve">Suppression </w:t>
      </w:r>
      <w:r w:rsidRPr="007C62DF">
        <w:t>réseau préférentiel du flux Plages CNFFH55</w:t>
      </w:r>
      <w:bookmarkEnd w:id="14"/>
    </w:p>
    <w:p w:rsidR="007C62DF" w:rsidRDefault="007C62DF" w:rsidP="007C62DF"/>
    <w:p w:rsidR="007C62DF" w:rsidRDefault="007C62DF" w:rsidP="007C62DF">
      <w:r>
        <w:t>Evolution concernant le réseau préférentiel du flux Plages CNFFH55 pour release octobre 2020</w:t>
      </w:r>
    </w:p>
    <w:p w:rsidR="007C62DF" w:rsidRDefault="007C62DF" w:rsidP="007C62DF">
      <w:r>
        <w:t xml:space="preserve">Même idée ici de FrenchSys de mettre en application son devoir de neutralité vis à vis des </w:t>
      </w:r>
      <w:proofErr w:type="spellStart"/>
      <w:r>
        <w:t>schemes</w:t>
      </w:r>
      <w:proofErr w:type="spellEnd"/>
      <w:r>
        <w:t>.</w:t>
      </w:r>
    </w:p>
    <w:p w:rsidR="007C62DF" w:rsidRDefault="007C62DF" w:rsidP="007C62DF">
      <w:r>
        <w:t xml:space="preserve">Aujourd'hui le réseau préférentiel est positionné à 'CB' pour toutes les plages </w:t>
      </w:r>
      <w:proofErr w:type="spellStart"/>
      <w:r>
        <w:t>co</w:t>
      </w:r>
      <w:proofErr w:type="spellEnd"/>
      <w:r>
        <w:t>-badgée CB</w:t>
      </w:r>
    </w:p>
    <w:p w:rsidR="007C62DF" w:rsidRDefault="007C62DF" w:rsidP="007C62DF">
      <w:r>
        <w:t>Les banques sont sollicitées pour confirmer auprès de FrenchSys la possibilité d’abandonner cette donnée P11 lors de la prochaine release d’octobre 2020.</w:t>
      </w:r>
    </w:p>
    <w:p w:rsidR="003C5CF1" w:rsidRDefault="003C5CF1" w:rsidP="009507ED"/>
    <w:p w:rsidR="007C62DF" w:rsidRDefault="007C62DF" w:rsidP="009507ED">
      <w:r>
        <w:t>=&gt; vérifier les impacts sur nos briques de routage (</w:t>
      </w:r>
      <w:proofErr w:type="spellStart"/>
      <w:r>
        <w:t>MyWAy</w:t>
      </w:r>
      <w:proofErr w:type="spellEnd"/>
      <w:r>
        <w:t xml:space="preserve"> sur FMO + impacts </w:t>
      </w:r>
      <w:r w:rsidR="001610F0">
        <w:t xml:space="preserve">traitements </w:t>
      </w:r>
      <w:r>
        <w:t>BO</w:t>
      </w:r>
      <w:r w:rsidR="001610F0">
        <w:t xml:space="preserve"> qui appellent directement le référentiel plage</w:t>
      </w:r>
      <w:r>
        <w:t>)</w:t>
      </w:r>
    </w:p>
    <w:p w:rsidR="007C62DF" w:rsidRDefault="007C62DF" w:rsidP="009507ED"/>
    <w:p w:rsidR="007C62DF" w:rsidRDefault="007C62DF" w:rsidP="009507ED"/>
    <w:p w:rsidR="007C62DF" w:rsidRDefault="007C62DF" w:rsidP="009507ED">
      <w:bookmarkStart w:id="15" w:name="_GoBack"/>
      <w:bookmarkEnd w:id="15"/>
    </w:p>
    <w:sectPr w:rsidR="007C62DF" w:rsidSect="00D74DC2">
      <w:headerReference w:type="default" r:id="rId11"/>
      <w:footerReference w:type="default" r:id="rId12"/>
      <w:footnotePr>
        <w:numRestart w:val="eachPage"/>
      </w:footnotePr>
      <w:pgSz w:w="11907" w:h="16840" w:code="9"/>
      <w:pgMar w:top="1418" w:right="851" w:bottom="851" w:left="851" w:header="56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73" w:rsidRDefault="00315273">
      <w:r>
        <w:separator/>
      </w:r>
    </w:p>
  </w:endnote>
  <w:endnote w:type="continuationSeparator" w:id="0">
    <w:p w:rsidR="00315273" w:rsidRDefault="0031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273" w:rsidRDefault="00315273">
    <w:pPr>
      <w:pStyle w:val="Pieddepage"/>
      <w:tabs>
        <w:tab w:val="clear" w:pos="4536"/>
        <w:tab w:val="clear" w:pos="9072"/>
        <w:tab w:val="center" w:pos="5103"/>
        <w:tab w:val="right" w:pos="10206"/>
      </w:tabs>
    </w:pPr>
    <w:r w:rsidRPr="00CE0204">
      <w:rPr>
        <w:snapToGrid w:val="0"/>
      </w:rPr>
      <w:fldChar w:fldCharType="begin"/>
    </w:r>
    <w:r w:rsidRPr="00CE0204">
      <w:rPr>
        <w:snapToGrid w:val="0"/>
      </w:rPr>
      <w:instrText xml:space="preserve"> FILENAME </w:instrText>
    </w:r>
    <w:r w:rsidRPr="00CE0204">
      <w:rPr>
        <w:snapToGrid w:val="0"/>
      </w:rPr>
      <w:fldChar w:fldCharType="separate"/>
    </w:r>
    <w:r w:rsidR="002771DA">
      <w:rPr>
        <w:noProof/>
        <w:snapToGrid w:val="0"/>
      </w:rPr>
      <w:t>Release FrenchSys CB2A Juin 2020</w:t>
    </w:r>
    <w:r w:rsidRPr="00CE0204">
      <w:rPr>
        <w:snapToGrid w:val="0"/>
      </w:rPr>
      <w:fldChar w:fldCharType="end"/>
    </w:r>
    <w:r w:rsidR="002771DA">
      <w:rPr>
        <w:snapToGrid w:val="0"/>
      </w:rPr>
      <w:t xml:space="preserve"> et Paramétrage SICB octobre 2020</w:t>
    </w:r>
    <w:r w:rsidR="002771DA">
      <w:rPr>
        <w:snapToGrid w:val="0"/>
      </w:rP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bookmarkStart w:id="16" w:name="_Toc62472567"/>
    <w:r>
      <w:rPr>
        <w:snapToGrid w:val="0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73" w:rsidRDefault="00315273">
      <w:r>
        <w:separator/>
      </w:r>
    </w:p>
  </w:footnote>
  <w:footnote w:type="continuationSeparator" w:id="0">
    <w:p w:rsidR="00315273" w:rsidRDefault="0031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273" w:rsidRDefault="00315273" w:rsidP="00D74DC2"/>
  <w:tbl>
    <w:tblPr>
      <w:tblW w:w="0" w:type="auto"/>
      <w:tblBorders>
        <w:top w:val="single" w:sz="8" w:space="0" w:color="581D74"/>
        <w:bottom w:val="single" w:sz="8" w:space="0" w:color="581D74"/>
        <w:insideH w:val="single" w:sz="8" w:space="0" w:color="581D74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3453"/>
      <w:gridCol w:w="4442"/>
      <w:gridCol w:w="2310"/>
    </w:tblGrid>
    <w:tr w:rsidR="00315273">
      <w:tc>
        <w:tcPr>
          <w:tcW w:w="3462" w:type="dxa"/>
        </w:tcPr>
        <w:p w:rsidR="00315273" w:rsidRPr="00F573B2" w:rsidRDefault="00315273" w:rsidP="00D74DC2">
          <w:pPr>
            <w:pStyle w:val="En-tte"/>
            <w:rPr>
              <w:rFonts w:ascii="Arial" w:hAnsi="Arial"/>
            </w:rPr>
          </w:pPr>
          <w:r>
            <w:rPr>
              <w:rFonts w:ascii="Arial" w:hAnsi="Arial"/>
              <w:noProof/>
            </w:rPr>
            <w:drawing>
              <wp:inline distT="0" distB="0" distL="0" distR="0">
                <wp:extent cx="1857375" cy="44767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15273" w:rsidRPr="00F573B2" w:rsidRDefault="00315273" w:rsidP="00D74DC2">
          <w:pPr>
            <w:pStyle w:val="En-tte"/>
            <w:rPr>
              <w:rFonts w:ascii="Arial" w:hAnsi="Arial"/>
            </w:rPr>
          </w:pPr>
        </w:p>
      </w:tc>
      <w:tc>
        <w:tcPr>
          <w:tcW w:w="4566" w:type="dxa"/>
        </w:tcPr>
        <w:p w:rsidR="00315273" w:rsidRDefault="00315273" w:rsidP="00D74DC2">
          <w:pPr>
            <w:pStyle w:val="En-tte"/>
            <w:jc w:val="center"/>
            <w:rPr>
              <w:sz w:val="16"/>
            </w:rPr>
          </w:pPr>
        </w:p>
        <w:p w:rsidR="00315273" w:rsidRDefault="00315273" w:rsidP="00D74DC2">
          <w:pPr>
            <w:pStyle w:val="En-tte"/>
            <w:jc w:val="center"/>
            <w:rPr>
              <w:b/>
              <w:bCs/>
            </w:rPr>
          </w:pPr>
        </w:p>
      </w:tc>
      <w:tc>
        <w:tcPr>
          <w:tcW w:w="2340" w:type="dxa"/>
        </w:tcPr>
        <w:p w:rsidR="00315273" w:rsidRDefault="00315273" w:rsidP="00D74DC2">
          <w:pPr>
            <w:pStyle w:val="En-tte"/>
          </w:pPr>
          <w:r>
            <w:t>Version 1</w:t>
          </w:r>
        </w:p>
        <w:p w:rsidR="00315273" w:rsidRDefault="00315273" w:rsidP="00D74DC2">
          <w:pPr>
            <w:pStyle w:val="En-tte"/>
          </w:pPr>
          <w:proofErr w:type="gramStart"/>
          <w:r>
            <w:t>le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CREATEDATE  \@ "dd/MM/yyyy"  \* MERGEFORMAT </w:instrText>
          </w:r>
          <w:r>
            <w:fldChar w:fldCharType="separate"/>
          </w:r>
          <w:r>
            <w:rPr>
              <w:noProof/>
            </w:rPr>
            <w:t>04/03/2020</w:t>
          </w:r>
          <w:r>
            <w:fldChar w:fldCharType="end"/>
          </w:r>
        </w:p>
        <w:p w:rsidR="00315273" w:rsidRDefault="00315273" w:rsidP="00D74DC2">
          <w:pPr>
            <w:pStyle w:val="En-tte"/>
          </w:pPr>
        </w:p>
      </w:tc>
    </w:tr>
  </w:tbl>
  <w:p w:rsidR="00315273" w:rsidRDefault="00315273" w:rsidP="00D74DC2">
    <w:pPr>
      <w:pStyle w:val="En-tte"/>
    </w:pPr>
  </w:p>
  <w:p w:rsidR="00315273" w:rsidRDefault="00315273" w:rsidP="00D74DC2">
    <w:pPr>
      <w:pStyle w:val="En-tte"/>
    </w:pPr>
  </w:p>
  <w:p w:rsidR="00315273" w:rsidRDefault="00315273" w:rsidP="00D74DC2">
    <w:pPr>
      <w:pStyle w:val="En-tte"/>
      <w:tabs>
        <w:tab w:val="clear" w:pos="4536"/>
        <w:tab w:val="clear" w:pos="9072"/>
        <w:tab w:val="center" w:pos="5103"/>
        <w:tab w:val="right" w:pos="102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95E7C42"/>
    <w:lvl w:ilvl="0">
      <w:start w:val="1"/>
      <w:numFmt w:val="decimal"/>
      <w:pStyle w:val="Titre1"/>
      <w:lvlText w:val="%1 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2"/>
        </w:tabs>
        <w:ind w:left="142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2B80384"/>
    <w:multiLevelType w:val="hybridMultilevel"/>
    <w:tmpl w:val="700ABB18"/>
    <w:lvl w:ilvl="0" w:tplc="12883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28DE"/>
    <w:multiLevelType w:val="hybridMultilevel"/>
    <w:tmpl w:val="1D0A5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4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E37AF"/>
    <w:multiLevelType w:val="hybridMultilevel"/>
    <w:tmpl w:val="E4E02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A33EE"/>
    <w:multiLevelType w:val="hybridMultilevel"/>
    <w:tmpl w:val="D68C79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416B7"/>
    <w:multiLevelType w:val="singleLevel"/>
    <w:tmpl w:val="2FC87354"/>
    <w:lvl w:ilvl="0">
      <w:start w:val="1"/>
      <w:numFmt w:val="bullet"/>
      <w:pStyle w:val="Ptriangle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7" w15:restartNumberingAfterBreak="0">
    <w:nsid w:val="1ACA00B5"/>
    <w:multiLevelType w:val="hybridMultilevel"/>
    <w:tmpl w:val="8774F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248D8"/>
    <w:multiLevelType w:val="multilevel"/>
    <w:tmpl w:val="4E9C2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3538A4"/>
    <w:multiLevelType w:val="hybridMultilevel"/>
    <w:tmpl w:val="6714E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52B2"/>
    <w:multiLevelType w:val="singleLevel"/>
    <w:tmpl w:val="11C62C30"/>
    <w:lvl w:ilvl="0">
      <w:start w:val="1"/>
      <w:numFmt w:val="decimal"/>
      <w:pStyle w:val="Titre8"/>
      <w:lvlText w:val="Tableau %1.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11" w15:restartNumberingAfterBreak="0">
    <w:nsid w:val="24B274C5"/>
    <w:multiLevelType w:val="singleLevel"/>
    <w:tmpl w:val="13D05EF0"/>
    <w:lvl w:ilvl="0">
      <w:start w:val="1"/>
      <w:numFmt w:val="bullet"/>
      <w:pStyle w:val="Plosange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195CEB"/>
    <w:multiLevelType w:val="singleLevel"/>
    <w:tmpl w:val="1990052A"/>
    <w:lvl w:ilvl="0">
      <w:start w:val="1"/>
      <w:numFmt w:val="bullet"/>
      <w:pStyle w:val="P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2C964528"/>
    <w:multiLevelType w:val="hybridMultilevel"/>
    <w:tmpl w:val="C98EE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A13A3"/>
    <w:multiLevelType w:val="singleLevel"/>
    <w:tmpl w:val="B9C6801C"/>
    <w:lvl w:ilvl="0">
      <w:start w:val="1"/>
      <w:numFmt w:val="bullet"/>
      <w:pStyle w:val="Pmarque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9B34B2"/>
    <w:multiLevelType w:val="singleLevel"/>
    <w:tmpl w:val="32FEB108"/>
    <w:lvl w:ilvl="0">
      <w:start w:val="1"/>
      <w:numFmt w:val="bullet"/>
      <w:pStyle w:val="Pflch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A0679"/>
    <w:multiLevelType w:val="hybridMultilevel"/>
    <w:tmpl w:val="FD704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126F9"/>
    <w:multiLevelType w:val="hybridMultilevel"/>
    <w:tmpl w:val="9E886EE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014D8"/>
    <w:multiLevelType w:val="hybridMultilevel"/>
    <w:tmpl w:val="B32418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716803"/>
    <w:multiLevelType w:val="hybridMultilevel"/>
    <w:tmpl w:val="D1C2B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40344"/>
    <w:multiLevelType w:val="hybridMultilevel"/>
    <w:tmpl w:val="12DE43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D3F3C"/>
    <w:multiLevelType w:val="hybridMultilevel"/>
    <w:tmpl w:val="5784D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27395"/>
    <w:multiLevelType w:val="singleLevel"/>
    <w:tmpl w:val="C10C7EB8"/>
    <w:lvl w:ilvl="0">
      <w:start w:val="1"/>
      <w:numFmt w:val="decimal"/>
      <w:pStyle w:val="Tableau"/>
      <w:lvlText w:val="Tableau %1.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43B82FC0"/>
    <w:multiLevelType w:val="hybridMultilevel"/>
    <w:tmpl w:val="475619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F12F2B"/>
    <w:multiLevelType w:val="hybridMultilevel"/>
    <w:tmpl w:val="61DCA9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301A05"/>
    <w:multiLevelType w:val="multilevel"/>
    <w:tmpl w:val="7EEEDE50"/>
    <w:lvl w:ilvl="0">
      <w:start w:val="1"/>
      <w:numFmt w:val="decimal"/>
      <w:pStyle w:val="StyleStyle1EncadrementSimpleAutomatique05ptpaisseu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AF6F58"/>
    <w:multiLevelType w:val="hybridMultilevel"/>
    <w:tmpl w:val="C1C678B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7840CF"/>
    <w:multiLevelType w:val="hybridMultilevel"/>
    <w:tmpl w:val="3020B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46E6E"/>
    <w:multiLevelType w:val="hybridMultilevel"/>
    <w:tmpl w:val="6EFC3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72ADD"/>
    <w:multiLevelType w:val="hybridMultilevel"/>
    <w:tmpl w:val="478E5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13678"/>
    <w:multiLevelType w:val="hybridMultilevel"/>
    <w:tmpl w:val="C2BE89D6"/>
    <w:lvl w:ilvl="0" w:tplc="305EF4E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42845"/>
    <w:multiLevelType w:val="hybridMultilevel"/>
    <w:tmpl w:val="57D04AA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767D0D"/>
    <w:multiLevelType w:val="multilevel"/>
    <w:tmpl w:val="DE981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A01E7A"/>
    <w:multiLevelType w:val="hybridMultilevel"/>
    <w:tmpl w:val="B1186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22D5E"/>
    <w:multiLevelType w:val="hybridMultilevel"/>
    <w:tmpl w:val="672A12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1E61B1"/>
    <w:multiLevelType w:val="hybridMultilevel"/>
    <w:tmpl w:val="1BC25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45795"/>
    <w:multiLevelType w:val="multilevel"/>
    <w:tmpl w:val="0D9C5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7" w15:restartNumberingAfterBreak="0">
    <w:nsid w:val="620C36DC"/>
    <w:multiLevelType w:val="singleLevel"/>
    <w:tmpl w:val="62689540"/>
    <w:lvl w:ilvl="0">
      <w:start w:val="1"/>
      <w:numFmt w:val="bullet"/>
      <w:pStyle w:val="Ptir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8" w15:restartNumberingAfterBreak="0">
    <w:nsid w:val="636A2F7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F614AA"/>
    <w:multiLevelType w:val="hybridMultilevel"/>
    <w:tmpl w:val="6CCC44B0"/>
    <w:lvl w:ilvl="0" w:tplc="7C50896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B0FCC"/>
    <w:multiLevelType w:val="hybridMultilevel"/>
    <w:tmpl w:val="0EAA061A"/>
    <w:lvl w:ilvl="0" w:tplc="7EA05AAA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7B0A17"/>
    <w:multiLevelType w:val="hybridMultilevel"/>
    <w:tmpl w:val="81C03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62A59"/>
    <w:multiLevelType w:val="singleLevel"/>
    <w:tmpl w:val="D04EEFBE"/>
    <w:lvl w:ilvl="0">
      <w:start w:val="1"/>
      <w:numFmt w:val="bullet"/>
      <w:pStyle w:val="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3" w15:restartNumberingAfterBreak="0">
    <w:nsid w:val="750926DD"/>
    <w:multiLevelType w:val="hybridMultilevel"/>
    <w:tmpl w:val="629ED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E72AC"/>
    <w:multiLevelType w:val="multilevel"/>
    <w:tmpl w:val="BEC65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E5038"/>
    <w:multiLevelType w:val="hybridMultilevel"/>
    <w:tmpl w:val="76306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031AF"/>
    <w:multiLevelType w:val="hybridMultilevel"/>
    <w:tmpl w:val="703C4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85705"/>
    <w:multiLevelType w:val="hybridMultilevel"/>
    <w:tmpl w:val="2C1ED9B6"/>
    <w:lvl w:ilvl="0" w:tplc="3DE4A21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37"/>
  </w:num>
  <w:num w:numId="6">
    <w:abstractNumId w:val="6"/>
  </w:num>
  <w:num w:numId="7">
    <w:abstractNumId w:val="42"/>
  </w:num>
  <w:num w:numId="8">
    <w:abstractNumId w:val="22"/>
  </w:num>
  <w:num w:numId="9">
    <w:abstractNumId w:val="36"/>
  </w:num>
  <w:num w:numId="10">
    <w:abstractNumId w:val="0"/>
  </w:num>
  <w:num w:numId="11">
    <w:abstractNumId w:val="10"/>
  </w:num>
  <w:num w:numId="12">
    <w:abstractNumId w:val="46"/>
  </w:num>
  <w:num w:numId="13">
    <w:abstractNumId w:val="4"/>
  </w:num>
  <w:num w:numId="14">
    <w:abstractNumId w:val="30"/>
  </w:num>
  <w:num w:numId="15">
    <w:abstractNumId w:val="19"/>
  </w:num>
  <w:num w:numId="16">
    <w:abstractNumId w:val="29"/>
  </w:num>
  <w:num w:numId="17">
    <w:abstractNumId w:val="35"/>
  </w:num>
  <w:num w:numId="18">
    <w:abstractNumId w:val="43"/>
  </w:num>
  <w:num w:numId="19">
    <w:abstractNumId w:val="31"/>
  </w:num>
  <w:num w:numId="20">
    <w:abstractNumId w:val="47"/>
  </w:num>
  <w:num w:numId="21">
    <w:abstractNumId w:val="8"/>
  </w:num>
  <w:num w:numId="22">
    <w:abstractNumId w:val="20"/>
  </w:num>
  <w:num w:numId="23">
    <w:abstractNumId w:val="5"/>
  </w:num>
  <w:num w:numId="24">
    <w:abstractNumId w:val="40"/>
  </w:num>
  <w:num w:numId="25">
    <w:abstractNumId w:val="38"/>
  </w:num>
  <w:num w:numId="26">
    <w:abstractNumId w:val="1"/>
  </w:num>
  <w:num w:numId="27">
    <w:abstractNumId w:val="27"/>
  </w:num>
  <w:num w:numId="28">
    <w:abstractNumId w:val="39"/>
  </w:num>
  <w:num w:numId="29">
    <w:abstractNumId w:val="44"/>
  </w:num>
  <w:num w:numId="30">
    <w:abstractNumId w:val="32"/>
  </w:num>
  <w:num w:numId="31">
    <w:abstractNumId w:val="3"/>
  </w:num>
  <w:num w:numId="32">
    <w:abstractNumId w:val="25"/>
  </w:num>
  <w:num w:numId="33">
    <w:abstractNumId w:val="41"/>
  </w:num>
  <w:num w:numId="34">
    <w:abstractNumId w:val="9"/>
  </w:num>
  <w:num w:numId="35">
    <w:abstractNumId w:val="13"/>
  </w:num>
  <w:num w:numId="36">
    <w:abstractNumId w:val="24"/>
  </w:num>
  <w:num w:numId="37">
    <w:abstractNumId w:val="16"/>
  </w:num>
  <w:num w:numId="38">
    <w:abstractNumId w:val="23"/>
  </w:num>
  <w:num w:numId="39">
    <w:abstractNumId w:val="45"/>
  </w:num>
  <w:num w:numId="40">
    <w:abstractNumId w:val="34"/>
  </w:num>
  <w:num w:numId="41">
    <w:abstractNumId w:val="18"/>
  </w:num>
  <w:num w:numId="42">
    <w:abstractNumId w:val="7"/>
  </w:num>
  <w:num w:numId="43">
    <w:abstractNumId w:val="26"/>
  </w:num>
  <w:num w:numId="44">
    <w:abstractNumId w:val="17"/>
  </w:num>
  <w:num w:numId="45">
    <w:abstractNumId w:val="21"/>
  </w:num>
  <w:num w:numId="46">
    <w:abstractNumId w:val="2"/>
  </w:num>
  <w:num w:numId="47">
    <w:abstractNumId w:val="33"/>
  </w:num>
  <w:num w:numId="48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78"/>
    <w:rsid w:val="000213B6"/>
    <w:rsid w:val="0002378F"/>
    <w:rsid w:val="00023B76"/>
    <w:rsid w:val="00045D69"/>
    <w:rsid w:val="00101D31"/>
    <w:rsid w:val="0010640C"/>
    <w:rsid w:val="00155A46"/>
    <w:rsid w:val="001610F0"/>
    <w:rsid w:val="00190CF2"/>
    <w:rsid w:val="001E4AF5"/>
    <w:rsid w:val="00240E5E"/>
    <w:rsid w:val="002771DA"/>
    <w:rsid w:val="002A0090"/>
    <w:rsid w:val="002A201C"/>
    <w:rsid w:val="002B1492"/>
    <w:rsid w:val="002C2BF5"/>
    <w:rsid w:val="002D5379"/>
    <w:rsid w:val="00315273"/>
    <w:rsid w:val="0038476B"/>
    <w:rsid w:val="00397C5E"/>
    <w:rsid w:val="003C5CF1"/>
    <w:rsid w:val="003D3940"/>
    <w:rsid w:val="003D71F3"/>
    <w:rsid w:val="003E43D8"/>
    <w:rsid w:val="003E710C"/>
    <w:rsid w:val="00420EFF"/>
    <w:rsid w:val="00446360"/>
    <w:rsid w:val="0045406A"/>
    <w:rsid w:val="0046738F"/>
    <w:rsid w:val="004C46B6"/>
    <w:rsid w:val="004E2A58"/>
    <w:rsid w:val="00544118"/>
    <w:rsid w:val="00551875"/>
    <w:rsid w:val="00577199"/>
    <w:rsid w:val="00643B42"/>
    <w:rsid w:val="00647B1C"/>
    <w:rsid w:val="0070711D"/>
    <w:rsid w:val="007161BC"/>
    <w:rsid w:val="007205AF"/>
    <w:rsid w:val="007B5302"/>
    <w:rsid w:val="007B6248"/>
    <w:rsid w:val="007C62DF"/>
    <w:rsid w:val="008535FA"/>
    <w:rsid w:val="0087477E"/>
    <w:rsid w:val="00886853"/>
    <w:rsid w:val="008D0C35"/>
    <w:rsid w:val="009130B1"/>
    <w:rsid w:val="00915EDA"/>
    <w:rsid w:val="009369B5"/>
    <w:rsid w:val="009507ED"/>
    <w:rsid w:val="009607C5"/>
    <w:rsid w:val="00966B7D"/>
    <w:rsid w:val="009A7FFB"/>
    <w:rsid w:val="00A43291"/>
    <w:rsid w:val="00A5182E"/>
    <w:rsid w:val="00AB09C9"/>
    <w:rsid w:val="00AC49B6"/>
    <w:rsid w:val="00AE2CB3"/>
    <w:rsid w:val="00AE4A90"/>
    <w:rsid w:val="00B528AA"/>
    <w:rsid w:val="00B533CE"/>
    <w:rsid w:val="00B921BD"/>
    <w:rsid w:val="00BB072B"/>
    <w:rsid w:val="00C012FA"/>
    <w:rsid w:val="00C06678"/>
    <w:rsid w:val="00C233D2"/>
    <w:rsid w:val="00C37F14"/>
    <w:rsid w:val="00C47D80"/>
    <w:rsid w:val="00C55969"/>
    <w:rsid w:val="00C831C8"/>
    <w:rsid w:val="00CC1A78"/>
    <w:rsid w:val="00D138C9"/>
    <w:rsid w:val="00D541B3"/>
    <w:rsid w:val="00D55E32"/>
    <w:rsid w:val="00D56D6C"/>
    <w:rsid w:val="00D62459"/>
    <w:rsid w:val="00D74DC2"/>
    <w:rsid w:val="00D767E8"/>
    <w:rsid w:val="00D85C18"/>
    <w:rsid w:val="00DD07D3"/>
    <w:rsid w:val="00E3636C"/>
    <w:rsid w:val="00E86EF1"/>
    <w:rsid w:val="00EB29E3"/>
    <w:rsid w:val="00F22E4C"/>
    <w:rsid w:val="00F54DE6"/>
    <w:rsid w:val="00F95699"/>
    <w:rsid w:val="00FC2821"/>
    <w:rsid w:val="00F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215E835"/>
  <w15:docId w15:val="{E3BFD72E-135E-4C5B-9CE2-F2FD6E50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3B76"/>
    <w:rPr>
      <w:rFonts w:ascii="Roboto" w:hAnsi="Roboto"/>
      <w:szCs w:val="24"/>
    </w:rPr>
  </w:style>
  <w:style w:type="paragraph" w:styleId="Titre1">
    <w:name w:val="heading 1"/>
    <w:aliases w:val="Niveau 1,Titre1 av num,(Titre),Heading 1 CFMU"/>
    <w:basedOn w:val="Normal"/>
    <w:next w:val="Texte"/>
    <w:qFormat/>
    <w:rsid w:val="00577199"/>
    <w:pPr>
      <w:keepNext/>
      <w:pageBreakBefore/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4" w:after="142"/>
      <w:jc w:val="right"/>
      <w:outlineLvl w:val="0"/>
    </w:pPr>
    <w:rPr>
      <w:rFonts w:ascii="Arial" w:hAnsi="Arial"/>
      <w:b/>
      <w:sz w:val="36"/>
      <w:szCs w:val="20"/>
    </w:rPr>
  </w:style>
  <w:style w:type="paragraph" w:styleId="Titre2">
    <w:name w:val="heading 2"/>
    <w:aliases w:val="Niveau 1 1,Titre 2 av num,(Sous-titre),Heading 2 CFMU"/>
    <w:basedOn w:val="Normal"/>
    <w:next w:val="Retrait0"/>
    <w:qFormat/>
    <w:rsid w:val="00577199"/>
    <w:pPr>
      <w:keepNext/>
      <w:numPr>
        <w:ilvl w:val="1"/>
        <w:numId w:val="10"/>
      </w:numPr>
      <w:spacing w:before="142" w:after="142"/>
      <w:jc w:val="both"/>
      <w:outlineLvl w:val="1"/>
    </w:pPr>
    <w:rPr>
      <w:rFonts w:ascii="Arial" w:hAnsi="Arial"/>
      <w:sz w:val="32"/>
      <w:szCs w:val="20"/>
    </w:rPr>
  </w:style>
  <w:style w:type="paragraph" w:styleId="Titre3">
    <w:name w:val="heading 3"/>
    <w:aliases w:val="Niveau 1 1 1,Titre 3 av num,(Inter- titre),Heading 3 CFMU"/>
    <w:basedOn w:val="Normal"/>
    <w:next w:val="Retrait1"/>
    <w:qFormat/>
    <w:rsid w:val="00577199"/>
    <w:pPr>
      <w:keepNext/>
      <w:numPr>
        <w:ilvl w:val="2"/>
        <w:numId w:val="10"/>
      </w:numPr>
      <w:spacing w:before="142" w:after="142"/>
      <w:jc w:val="both"/>
      <w:outlineLvl w:val="2"/>
    </w:pPr>
    <w:rPr>
      <w:i/>
      <w:szCs w:val="20"/>
    </w:rPr>
  </w:style>
  <w:style w:type="paragraph" w:styleId="Titre4">
    <w:name w:val="heading 4"/>
    <w:aliases w:val="Titre 4 av num"/>
    <w:basedOn w:val="Normal"/>
    <w:next w:val="Normal"/>
    <w:qFormat/>
    <w:rsid w:val="00577199"/>
    <w:pPr>
      <w:keepNext/>
      <w:jc w:val="center"/>
      <w:outlineLvl w:val="3"/>
    </w:pPr>
    <w:rPr>
      <w:b/>
      <w:szCs w:val="20"/>
    </w:rPr>
  </w:style>
  <w:style w:type="paragraph" w:styleId="Titre5">
    <w:name w:val="heading 5"/>
    <w:aliases w:val="Titre 5 av num"/>
    <w:basedOn w:val="Normal"/>
    <w:next w:val="Normal"/>
    <w:qFormat/>
    <w:rsid w:val="00577199"/>
    <w:pPr>
      <w:keepNext/>
      <w:widowControl w:val="0"/>
      <w:outlineLvl w:val="4"/>
    </w:pPr>
    <w:rPr>
      <w:rFonts w:ascii="Arial Narrow" w:hAnsi="Arial Narrow"/>
      <w:b/>
      <w:szCs w:val="20"/>
    </w:rPr>
  </w:style>
  <w:style w:type="paragraph" w:styleId="Titre6">
    <w:name w:val="heading 6"/>
    <w:basedOn w:val="Normal"/>
    <w:next w:val="Normal"/>
    <w:qFormat/>
    <w:rsid w:val="00577199"/>
    <w:pPr>
      <w:keepNext/>
      <w:jc w:val="center"/>
      <w:outlineLvl w:val="5"/>
    </w:pPr>
    <w:rPr>
      <w:b/>
      <w:sz w:val="32"/>
      <w:szCs w:val="20"/>
    </w:rPr>
  </w:style>
  <w:style w:type="paragraph" w:styleId="Titre7">
    <w:name w:val="heading 7"/>
    <w:basedOn w:val="Normal"/>
    <w:next w:val="Normal"/>
    <w:qFormat/>
    <w:rsid w:val="00577199"/>
    <w:pPr>
      <w:keepNext/>
      <w:jc w:val="center"/>
      <w:outlineLvl w:val="6"/>
    </w:pPr>
    <w:rPr>
      <w:rFonts w:ascii="Arial" w:hAnsi="Arial"/>
      <w:b/>
      <w:sz w:val="22"/>
      <w:szCs w:val="20"/>
    </w:rPr>
  </w:style>
  <w:style w:type="paragraph" w:styleId="Titre8">
    <w:name w:val="heading 8"/>
    <w:basedOn w:val="Normal"/>
    <w:next w:val="Normal"/>
    <w:qFormat/>
    <w:rsid w:val="00577199"/>
    <w:pPr>
      <w:keepNext/>
      <w:numPr>
        <w:numId w:val="11"/>
      </w:numPr>
      <w:spacing w:before="120"/>
      <w:outlineLvl w:val="7"/>
    </w:pPr>
    <w:rPr>
      <w:rFonts w:ascii="Arial Black" w:hAnsi="Arial Black"/>
      <w:sz w:val="16"/>
      <w:szCs w:val="20"/>
    </w:rPr>
  </w:style>
  <w:style w:type="paragraph" w:styleId="Titre9">
    <w:name w:val="heading 9"/>
    <w:basedOn w:val="Normal"/>
    <w:next w:val="Normal"/>
    <w:qFormat/>
    <w:rsid w:val="00577199"/>
    <w:pPr>
      <w:keepNext/>
      <w:outlineLvl w:val="8"/>
    </w:pPr>
    <w:rPr>
      <w:cap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D74DC2"/>
    <w:pPr>
      <w:keepLines/>
      <w:tabs>
        <w:tab w:val="left" w:pos="426"/>
        <w:tab w:val="left" w:pos="1134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before="141"/>
      <w:jc w:val="both"/>
    </w:pPr>
    <w:rPr>
      <w:szCs w:val="20"/>
    </w:rPr>
  </w:style>
  <w:style w:type="paragraph" w:customStyle="1" w:styleId="Retrait0">
    <w:name w:val="Retrait 0"/>
    <w:aliases w:val="50"/>
    <w:basedOn w:val="Normal"/>
    <w:rsid w:val="00D74DC2"/>
    <w:pPr>
      <w:spacing w:before="142"/>
      <w:ind w:left="284"/>
      <w:jc w:val="both"/>
    </w:pPr>
    <w:rPr>
      <w:szCs w:val="20"/>
    </w:rPr>
  </w:style>
  <w:style w:type="paragraph" w:customStyle="1" w:styleId="Retrait1">
    <w:name w:val="Retrait 1"/>
    <w:aliases w:val="00"/>
    <w:basedOn w:val="Retrait0"/>
    <w:rsid w:val="00D74DC2"/>
    <w:pPr>
      <w:ind w:left="567"/>
    </w:pPr>
  </w:style>
  <w:style w:type="paragraph" w:customStyle="1" w:styleId="Liste1">
    <w:name w:val="Liste 1"/>
    <w:basedOn w:val="Normal"/>
    <w:rsid w:val="00D74DC2"/>
    <w:pPr>
      <w:spacing w:before="142"/>
      <w:ind w:left="567" w:hanging="283"/>
      <w:jc w:val="both"/>
    </w:pPr>
    <w:rPr>
      <w:szCs w:val="20"/>
    </w:rPr>
  </w:style>
  <w:style w:type="paragraph" w:customStyle="1" w:styleId="Listea">
    <w:name w:val="Liste a"/>
    <w:basedOn w:val="Liste1"/>
    <w:rsid w:val="00D74DC2"/>
    <w:pPr>
      <w:ind w:left="853"/>
    </w:pPr>
  </w:style>
  <w:style w:type="paragraph" w:customStyle="1" w:styleId="Noms">
    <w:name w:val="Noms"/>
    <w:basedOn w:val="Normal"/>
    <w:rsid w:val="00D74DC2"/>
    <w:pPr>
      <w:keepLines/>
      <w:tabs>
        <w:tab w:val="left" w:pos="360"/>
        <w:tab w:val="left" w:pos="3402"/>
        <w:tab w:val="left" w:pos="3686"/>
        <w:tab w:val="left" w:pos="4536"/>
        <w:tab w:val="left" w:pos="5670"/>
        <w:tab w:val="left" w:pos="6804"/>
        <w:tab w:val="left" w:pos="7938"/>
      </w:tabs>
      <w:ind w:left="2778"/>
    </w:pPr>
    <w:rPr>
      <w:szCs w:val="20"/>
    </w:rPr>
  </w:style>
  <w:style w:type="paragraph" w:customStyle="1" w:styleId="Objet">
    <w:name w:val="Objet"/>
    <w:basedOn w:val="Normal"/>
    <w:rsid w:val="00D74DC2"/>
    <w:pPr>
      <w:framePr w:hSpace="142" w:wrap="notBeside" w:vAnchor="page" w:hAnchor="page" w:x="1135" w:y="2553" w:anchorLock="1"/>
    </w:pPr>
    <w:rPr>
      <w:szCs w:val="20"/>
    </w:rPr>
  </w:style>
  <w:style w:type="paragraph" w:customStyle="1" w:styleId="Puce">
    <w:name w:val="Puce"/>
    <w:basedOn w:val="Normal"/>
    <w:rsid w:val="00D74DC2"/>
    <w:pPr>
      <w:numPr>
        <w:numId w:val="7"/>
      </w:numPr>
      <w:spacing w:before="142"/>
      <w:jc w:val="both"/>
    </w:pPr>
    <w:rPr>
      <w:szCs w:val="20"/>
    </w:rPr>
  </w:style>
  <w:style w:type="paragraph" w:customStyle="1" w:styleId="Pflche">
    <w:name w:val="P. flèche"/>
    <w:basedOn w:val="Puce"/>
    <w:rsid w:val="00D74DC2"/>
    <w:pPr>
      <w:numPr>
        <w:numId w:val="1"/>
      </w:numPr>
    </w:pPr>
  </w:style>
  <w:style w:type="paragraph" w:customStyle="1" w:styleId="Plosange">
    <w:name w:val="P. losange"/>
    <w:basedOn w:val="Puce"/>
    <w:rsid w:val="00D74DC2"/>
    <w:pPr>
      <w:numPr>
        <w:numId w:val="2"/>
      </w:numPr>
    </w:pPr>
  </w:style>
  <w:style w:type="paragraph" w:customStyle="1" w:styleId="Pmarque">
    <w:name w:val="P. marque"/>
    <w:basedOn w:val="Puce"/>
    <w:rsid w:val="00D74DC2"/>
    <w:pPr>
      <w:numPr>
        <w:numId w:val="3"/>
      </w:numPr>
    </w:pPr>
  </w:style>
  <w:style w:type="paragraph" w:customStyle="1" w:styleId="Ppoint">
    <w:name w:val="P. point"/>
    <w:basedOn w:val="Puce"/>
    <w:rsid w:val="00D74DC2"/>
    <w:pPr>
      <w:numPr>
        <w:numId w:val="4"/>
      </w:numPr>
    </w:pPr>
  </w:style>
  <w:style w:type="paragraph" w:customStyle="1" w:styleId="Ptiret">
    <w:name w:val="P. tiret"/>
    <w:basedOn w:val="Ppoint"/>
    <w:rsid w:val="00D74DC2"/>
    <w:pPr>
      <w:numPr>
        <w:numId w:val="5"/>
      </w:numPr>
    </w:pPr>
  </w:style>
  <w:style w:type="paragraph" w:customStyle="1" w:styleId="Ptriangle">
    <w:name w:val="P. triangle"/>
    <w:basedOn w:val="Puce"/>
    <w:rsid w:val="00D74DC2"/>
    <w:pPr>
      <w:numPr>
        <w:numId w:val="6"/>
      </w:numPr>
    </w:pPr>
  </w:style>
  <w:style w:type="paragraph" w:customStyle="1" w:styleId="Retrait2">
    <w:name w:val="Retrait 2"/>
    <w:aliases w:val="75"/>
    <w:basedOn w:val="Retrait1"/>
    <w:rsid w:val="00D74DC2"/>
    <w:pPr>
      <w:ind w:left="1559"/>
    </w:pPr>
  </w:style>
  <w:style w:type="paragraph" w:customStyle="1" w:styleId="Retrait150">
    <w:name w:val="Retrait1.50"/>
    <w:basedOn w:val="Retrait1"/>
    <w:rsid w:val="00D74DC2"/>
    <w:pPr>
      <w:ind w:left="851"/>
    </w:pPr>
  </w:style>
  <w:style w:type="paragraph" w:customStyle="1" w:styleId="Textecran">
    <w:name w:val="Texte écran"/>
    <w:basedOn w:val="Normal"/>
    <w:rsid w:val="00D74DC2"/>
    <w:pPr>
      <w:ind w:left="567" w:firstLine="567"/>
    </w:pPr>
    <w:rPr>
      <w:rFonts w:ascii="Letter Gothic" w:hAnsi="Letter Gothic"/>
      <w:sz w:val="16"/>
      <w:szCs w:val="20"/>
    </w:rPr>
  </w:style>
  <w:style w:type="paragraph" w:customStyle="1" w:styleId="Textetableau">
    <w:name w:val="Texte tableau"/>
    <w:basedOn w:val="Normal"/>
    <w:rsid w:val="00D74DC2"/>
    <w:rPr>
      <w:szCs w:val="20"/>
    </w:rPr>
  </w:style>
  <w:style w:type="paragraph" w:customStyle="1" w:styleId="Txtcompact">
    <w:name w:val="Txt compact"/>
    <w:basedOn w:val="Normal"/>
    <w:rsid w:val="00D74DC2"/>
    <w:pPr>
      <w:keepLines/>
      <w:tabs>
        <w:tab w:val="left" w:pos="851"/>
        <w:tab w:val="left" w:pos="1134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ind w:firstLine="426"/>
      <w:jc w:val="both"/>
    </w:pPr>
    <w:rPr>
      <w:szCs w:val="20"/>
    </w:rPr>
  </w:style>
  <w:style w:type="paragraph" w:styleId="En-tte">
    <w:name w:val="header"/>
    <w:aliases w:val="En-tête+14pt"/>
    <w:basedOn w:val="Normal"/>
    <w:rsid w:val="00D74DC2"/>
    <w:pPr>
      <w:tabs>
        <w:tab w:val="center" w:pos="4536"/>
        <w:tab w:val="right" w:pos="9072"/>
      </w:tabs>
    </w:pPr>
    <w:rPr>
      <w:szCs w:val="20"/>
    </w:rPr>
  </w:style>
  <w:style w:type="paragraph" w:styleId="Titre">
    <w:name w:val="Title"/>
    <w:basedOn w:val="Normal"/>
    <w:qFormat/>
    <w:rsid w:val="00577199"/>
    <w:pPr>
      <w:jc w:val="center"/>
    </w:pPr>
    <w:rPr>
      <w:szCs w:val="20"/>
    </w:rPr>
  </w:style>
  <w:style w:type="paragraph" w:styleId="TM1">
    <w:name w:val="toc 1"/>
    <w:basedOn w:val="Normal"/>
    <w:next w:val="Normal"/>
    <w:autoRedefine/>
    <w:uiPriority w:val="39"/>
    <w:rsid w:val="00D74DC2"/>
    <w:pPr>
      <w:spacing w:before="120" w:after="120"/>
    </w:pPr>
    <w:rPr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D74DC2"/>
    <w:pPr>
      <w:ind w:left="200"/>
    </w:pPr>
    <w:rPr>
      <w:smallCaps/>
      <w:szCs w:val="20"/>
    </w:rPr>
  </w:style>
  <w:style w:type="paragraph" w:customStyle="1" w:styleId="Textepardfaut">
    <w:name w:val="Texte par défaut"/>
    <w:basedOn w:val="Normal"/>
    <w:rsid w:val="00D74DC2"/>
    <w:rPr>
      <w:szCs w:val="20"/>
    </w:rPr>
  </w:style>
  <w:style w:type="character" w:styleId="Appelnotedebasdep">
    <w:name w:val="footnote reference"/>
    <w:basedOn w:val="Policepardfaut"/>
    <w:semiHidden/>
    <w:rsid w:val="00D74DC2"/>
    <w:rPr>
      <w:rFonts w:cs="Times New Roman"/>
      <w:vertAlign w:val="superscript"/>
    </w:rPr>
  </w:style>
  <w:style w:type="paragraph" w:styleId="Commentaire">
    <w:name w:val="annotation text"/>
    <w:basedOn w:val="Normal"/>
    <w:semiHidden/>
    <w:rsid w:val="00D74DC2"/>
    <w:rPr>
      <w:szCs w:val="20"/>
    </w:rPr>
  </w:style>
  <w:style w:type="paragraph" w:customStyle="1" w:styleId="Ecran">
    <w:name w:val="Ecran"/>
    <w:basedOn w:val="Normal"/>
    <w:rsid w:val="00D74DC2"/>
    <w:pPr>
      <w:ind w:left="141" w:right="141"/>
    </w:pPr>
    <w:rPr>
      <w:rFonts w:ascii="Courier" w:hAnsi="Courier"/>
      <w:sz w:val="16"/>
      <w:szCs w:val="20"/>
    </w:rPr>
  </w:style>
  <w:style w:type="paragraph" w:styleId="Corpsdetexte">
    <w:name w:val="Body Text"/>
    <w:basedOn w:val="Normal"/>
    <w:rsid w:val="00D74DC2"/>
    <w:pPr>
      <w:jc w:val="center"/>
    </w:pPr>
    <w:rPr>
      <w:b/>
      <w:szCs w:val="20"/>
    </w:rPr>
  </w:style>
  <w:style w:type="paragraph" w:styleId="TM3">
    <w:name w:val="toc 3"/>
    <w:basedOn w:val="Normal"/>
    <w:next w:val="Normal"/>
    <w:autoRedefine/>
    <w:semiHidden/>
    <w:rsid w:val="00D74DC2"/>
    <w:pPr>
      <w:ind w:left="400"/>
    </w:pPr>
    <w:rPr>
      <w:i/>
      <w:iCs/>
      <w:szCs w:val="20"/>
    </w:rPr>
  </w:style>
  <w:style w:type="paragraph" w:styleId="Pieddepage">
    <w:name w:val="footer"/>
    <w:basedOn w:val="Normal"/>
    <w:rsid w:val="00D74DC2"/>
    <w:pPr>
      <w:tabs>
        <w:tab w:val="center" w:pos="4536"/>
        <w:tab w:val="right" w:pos="9072"/>
      </w:tabs>
    </w:pPr>
    <w:rPr>
      <w:szCs w:val="20"/>
    </w:rPr>
  </w:style>
  <w:style w:type="paragraph" w:customStyle="1" w:styleId="TableCodificationNourea">
    <w:name w:val="Table Codification Nourea"/>
    <w:basedOn w:val="TableCodificationRacine"/>
    <w:rsid w:val="00D74DC2"/>
  </w:style>
  <w:style w:type="paragraph" w:customStyle="1" w:styleId="TableCodificationRacine">
    <w:name w:val="Table Codification Racine"/>
    <w:basedOn w:val="Normal"/>
    <w:rsid w:val="00D74DC2"/>
    <w:pPr>
      <w:tabs>
        <w:tab w:val="left" w:pos="1560"/>
      </w:tabs>
    </w:pPr>
    <w:rPr>
      <w:rFonts w:ascii="Arial" w:hAnsi="Arial"/>
      <w:sz w:val="28"/>
      <w:szCs w:val="20"/>
    </w:rPr>
  </w:style>
  <w:style w:type="paragraph" w:styleId="TM7">
    <w:name w:val="toc 7"/>
    <w:basedOn w:val="Normal"/>
    <w:next w:val="Normal"/>
    <w:autoRedefine/>
    <w:semiHidden/>
    <w:rsid w:val="00D74DC2"/>
    <w:pPr>
      <w:ind w:left="12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D74DC2"/>
    <w:pPr>
      <w:ind w:left="160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74DC2"/>
    <w:pPr>
      <w:ind w:left="800" w:hanging="200"/>
    </w:pPr>
    <w:rPr>
      <w:szCs w:val="20"/>
    </w:rPr>
  </w:style>
  <w:style w:type="paragraph" w:customStyle="1" w:styleId="Tableau">
    <w:name w:val="Tableau"/>
    <w:basedOn w:val="Texte"/>
    <w:rsid w:val="00D74DC2"/>
    <w:pPr>
      <w:numPr>
        <w:numId w:val="8"/>
      </w:numPr>
      <w:tabs>
        <w:tab w:val="clear" w:pos="1701"/>
        <w:tab w:val="left" w:pos="1276"/>
      </w:tabs>
    </w:pPr>
    <w:rPr>
      <w:rFonts w:ascii="Arial Black" w:hAnsi="Arial Black"/>
      <w:sz w:val="16"/>
    </w:rPr>
  </w:style>
  <w:style w:type="paragraph" w:customStyle="1" w:styleId="CommentairePlantype">
    <w:name w:val="Commentaire_Plan_type"/>
    <w:basedOn w:val="Texte"/>
    <w:rsid w:val="00D74DC2"/>
    <w:pPr>
      <w:keepLines w:val="0"/>
      <w:spacing w:before="120" w:line="240" w:lineRule="exact"/>
      <w:jc w:val="left"/>
    </w:pPr>
    <w:rPr>
      <w:rFonts w:ascii="Arial" w:hAnsi="Arial"/>
      <w:i/>
      <w:color w:val="0000FF"/>
    </w:rPr>
  </w:style>
  <w:style w:type="character" w:styleId="Numrodepage">
    <w:name w:val="page number"/>
    <w:basedOn w:val="Policepardfaut"/>
    <w:rsid w:val="00D74DC2"/>
    <w:rPr>
      <w:rFonts w:cs="Times New Roman"/>
    </w:rPr>
  </w:style>
  <w:style w:type="table" w:styleId="Grilledutableau">
    <w:name w:val="Table Grid"/>
    <w:aliases w:val="Tableau de base"/>
    <w:basedOn w:val="TableauNormal"/>
    <w:uiPriority w:val="59"/>
    <w:rsid w:val="00D74DC2"/>
    <w:rPr>
      <w:rFonts w:ascii="Verdana" w:hAnsi="Verdana"/>
    </w:rPr>
    <w:tblPr>
      <w:tblBorders>
        <w:top w:val="single" w:sz="8" w:space="0" w:color="581D74"/>
        <w:bottom w:val="single" w:sz="8" w:space="0" w:color="581D74"/>
        <w:insideH w:val="single" w:sz="8" w:space="0" w:color="581D74"/>
      </w:tblBorders>
      <w:tblCellMar>
        <w:top w:w="108" w:type="dxa"/>
        <w:bottom w:w="108" w:type="dxa"/>
      </w:tblCellMar>
    </w:tblPr>
  </w:style>
  <w:style w:type="character" w:customStyle="1" w:styleId="TitreModele">
    <w:name w:val="TitreModele"/>
    <w:basedOn w:val="Policepardfaut"/>
    <w:rsid w:val="00D74DC2"/>
    <w:rPr>
      <w:rFonts w:ascii="Verdana" w:hAnsi="Verdana" w:cs="Times New Roman"/>
      <w:b/>
      <w:bCs/>
      <w:color w:val="581D74"/>
      <w:sz w:val="26"/>
    </w:rPr>
  </w:style>
  <w:style w:type="paragraph" w:customStyle="1" w:styleId="Style1">
    <w:name w:val="Style1"/>
    <w:basedOn w:val="Normal"/>
    <w:next w:val="Normal"/>
    <w:autoRedefine/>
    <w:rsid w:val="00AE2CB3"/>
    <w:pPr>
      <w:autoSpaceDE w:val="0"/>
      <w:autoSpaceDN w:val="0"/>
      <w:adjustRightInd w:val="0"/>
    </w:pPr>
    <w:rPr>
      <w:rFonts w:ascii="Arial" w:hAnsi="Arial" w:cs="Arial"/>
      <w:b/>
      <w:smallCaps/>
      <w:color w:val="7030A0"/>
      <w:lang w:val="en-GB"/>
    </w:rPr>
  </w:style>
  <w:style w:type="paragraph" w:customStyle="1" w:styleId="Style2">
    <w:name w:val="Style2"/>
    <w:basedOn w:val="Style1"/>
    <w:next w:val="Normal"/>
    <w:autoRedefine/>
    <w:rsid w:val="00446360"/>
    <w:pPr>
      <w:numPr>
        <w:ilvl w:val="1"/>
        <w:numId w:val="32"/>
      </w:numPr>
    </w:pPr>
    <w:rPr>
      <w:rFonts w:ascii="Arial Gras" w:hAnsi="Arial Gras"/>
      <w:bCs/>
      <w:szCs w:val="20"/>
    </w:rPr>
  </w:style>
  <w:style w:type="paragraph" w:customStyle="1" w:styleId="Style3">
    <w:name w:val="Style3"/>
    <w:basedOn w:val="Style2"/>
    <w:next w:val="Normal"/>
    <w:autoRedefine/>
    <w:rsid w:val="00D74DC2"/>
    <w:pPr>
      <w:numPr>
        <w:ilvl w:val="2"/>
      </w:numPr>
      <w:jc w:val="both"/>
    </w:pPr>
    <w:rPr>
      <w:rFonts w:cs="Times New Roman"/>
      <w:smallCaps w:val="0"/>
      <w:color w:val="CC66FF"/>
    </w:rPr>
  </w:style>
  <w:style w:type="paragraph" w:customStyle="1" w:styleId="StyleStyle1EncadrementSimpleAutomatique05ptpaisseu">
    <w:name w:val="Style Style1 + Encadrement : (Simple Automatique  05 pt Épaisseu..."/>
    <w:basedOn w:val="Style1"/>
    <w:autoRedefine/>
    <w:rsid w:val="001E4AF5"/>
    <w:pPr>
      <w:numPr>
        <w:numId w:val="3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 Gras" w:hAnsi="Arial Gras" w:cs="Times New Roman"/>
      <w:bCs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138C9"/>
    <w:pPr>
      <w:ind w:left="720"/>
      <w:contextualSpacing/>
    </w:pPr>
  </w:style>
  <w:style w:type="paragraph" w:customStyle="1" w:styleId="Default">
    <w:name w:val="Default"/>
    <w:rsid w:val="00420E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ib.net\shareparis\Home19\eburkovic\desktop\EdB%20mod&#232;le%20N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6A0F-24FA-4097-BB2B-2091F74F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EdB modèle NP</Template>
  <TotalTime>123</TotalTime>
  <Pages>13</Pages>
  <Words>3310</Words>
  <Characters>18684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 ACCEPTEUR</vt:lpstr>
    </vt:vector>
  </TitlesOfParts>
  <Company>NXS</Company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ACCEPTEUR</dc:title>
  <dc:subject/>
  <dc:creator>Burkovic Estelle</dc:creator>
  <cp:keywords/>
  <cp:lastModifiedBy>Burkovic Estelle</cp:lastModifiedBy>
  <cp:revision>20</cp:revision>
  <dcterms:created xsi:type="dcterms:W3CDTF">2020-06-07T21:47:00Z</dcterms:created>
  <dcterms:modified xsi:type="dcterms:W3CDTF">2020-06-19T18:16:00Z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e4f81-4b1c-4a3a-b237-8636707719dc_Enabled">
    <vt:lpwstr>True</vt:lpwstr>
  </property>
  <property fmtid="{D5CDD505-2E9C-101B-9397-08002B2CF9AE}" pid="3" name="MSIP_Label_797e4f81-4b1c-4a3a-b237-8636707719dc_SiteId">
    <vt:lpwstr>d5bb6d35-8a82-4329-b49a-5030bd6497ab</vt:lpwstr>
  </property>
  <property fmtid="{D5CDD505-2E9C-101B-9397-08002B2CF9AE}" pid="4" name="MSIP_Label_797e4f81-4b1c-4a3a-b237-8636707719dc_Owner">
    <vt:lpwstr>estelle.burkovic@natixis.com</vt:lpwstr>
  </property>
  <property fmtid="{D5CDD505-2E9C-101B-9397-08002B2CF9AE}" pid="5" name="MSIP_Label_797e4f81-4b1c-4a3a-b237-8636707719dc_SetDate">
    <vt:lpwstr>2020-03-04T17:50:55.3983008Z</vt:lpwstr>
  </property>
  <property fmtid="{D5CDD505-2E9C-101B-9397-08002B2CF9AE}" pid="6" name="MSIP_Label_797e4f81-4b1c-4a3a-b237-8636707719dc_Name">
    <vt:lpwstr>C2 - Internal Natixis</vt:lpwstr>
  </property>
  <property fmtid="{D5CDD505-2E9C-101B-9397-08002B2CF9AE}" pid="7" name="MSIP_Label_797e4f81-4b1c-4a3a-b237-8636707719dc_Application">
    <vt:lpwstr>Microsoft Azure Information Protection</vt:lpwstr>
  </property>
  <property fmtid="{D5CDD505-2E9C-101B-9397-08002B2CF9AE}" pid="8" name="MSIP_Label_797e4f81-4b1c-4a3a-b237-8636707719dc_ActionId">
    <vt:lpwstr>71637db5-18ae-4384-9a9c-358a5d5b2028</vt:lpwstr>
  </property>
  <property fmtid="{D5CDD505-2E9C-101B-9397-08002B2CF9AE}" pid="9" name="MSIP_Label_797e4f81-4b1c-4a3a-b237-8636707719dc_Extended_MSFT_Method">
    <vt:lpwstr>Manual</vt:lpwstr>
  </property>
  <property fmtid="{D5CDD505-2E9C-101B-9397-08002B2CF9AE}" pid="10" name="Sensitivity">
    <vt:lpwstr>C2 - Internal Natixis</vt:lpwstr>
  </property>
</Properties>
</file>