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processus_4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Vide juridique </w:t>
            </w:r>
          </w:p>
        </w:tc>
        <w:tc>
          <w:tcPr>
            <w:tcW w:type="dxa" w:w="2160"/>
          </w:tcPr>
          <w:p>
            <w:r>
              <w:t>Cela se produit lors d'un manques d'informations ,Vide juridique dans l'article : ['Decret n 501Â\xa0 de MHESR', '']</w:t>
            </w:r>
          </w:p>
        </w:tc>
        <w:tc>
          <w:tcPr>
            <w:tcW w:type="dxa" w:w="2160"/>
          </w:tcPr>
          <w:p>
            <w:r>
              <w:t>Reviser l'article : ['Decret n 501Â\xa0 de MHESR', ''] et Ajouter des informations adéquates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