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74417F" w:rsidRPr="00FC7FA7" w:rsidP="00A32B7E" w14:paraId="0619F800" w14:textId="77777777">
      <w:pPr>
        <w:jc w:val="center"/>
        <w:rPr>
          <w:rFonts w:asciiTheme="minorBidi" w:hAnsiTheme="minorBidi"/>
          <w:b/>
          <w:bCs/>
          <w:sz w:val="32"/>
          <w:szCs w:val="32"/>
        </w:rPr>
      </w:pPr>
      <w:r w:rsidRPr="00FC7FA7">
        <w:rPr>
          <w:rFonts w:asciiTheme="minorBidi" w:hAnsiTheme="minorBidi"/>
          <w:b/>
          <w:bCs/>
          <w:sz w:val="32"/>
          <w:szCs w:val="32"/>
        </w:rPr>
        <w:t>Deep Learning for Multimodal Brain Imaging Analysis: A Fusion Approach for Classifying Healthy Aging, Mild Cognitive Impairment, and Alzheimer's Disease</w:t>
      </w:r>
    </w:p>
    <w:p w:rsidR="0074417F" w:rsidRPr="00FC7FA7" w:rsidP="00A32B7E" w14:paraId="4E1B9C73" w14:textId="77777777">
      <w:pPr>
        <w:pStyle w:val="Heading1"/>
        <w:rPr>
          <w:rFonts w:eastAsia="Times New Roman" w:asciiTheme="minorBidi" w:hAnsiTheme="minorBidi" w:cstheme="minorBidi"/>
          <w:b/>
          <w:bCs/>
          <w:color w:val="000000" w:themeColor="text1"/>
          <w:sz w:val="24"/>
          <w:szCs w:val="24"/>
        </w:rPr>
      </w:pPr>
      <w:r w:rsidRPr="00FC7FA7">
        <w:rPr>
          <w:rFonts w:eastAsia="Times New Roman" w:asciiTheme="minorBidi" w:hAnsiTheme="minorBidi" w:cstheme="minorBidi"/>
          <w:b/>
          <w:bCs/>
          <w:color w:val="000000" w:themeColor="text1"/>
          <w:sz w:val="24"/>
          <w:szCs w:val="24"/>
        </w:rPr>
        <w:t>Abstract:</w:t>
      </w:r>
    </w:p>
    <w:p w:rsidR="00A212D8" w:rsidRPr="00FC7FA7" w:rsidP="00A212D8" w14:paraId="2E6E373D" w14:textId="5258BE9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Diagnosing </w:t>
      </w:r>
      <w:r w:rsidRPr="00FC7FA7">
        <w:rPr>
          <w:rFonts w:eastAsia="Times New Roman" w:asciiTheme="minorBidi" w:hAnsiTheme="minorBidi"/>
          <w:color w:val="FF0000"/>
          <w:kern w:val="0"/>
          <w:sz w:val="22"/>
          <w:szCs w:val="22"/>
          <w14:ligatures w14:val="none"/>
        </w:rPr>
        <w:t>Alzheimer's</w:t>
      </w:r>
      <w:r w:rsidRPr="00FC7FA7">
        <w:rPr>
          <w:rFonts w:eastAsia="Times New Roman" w:asciiTheme="minorBidi" w:hAnsiTheme="minorBidi"/>
          <w:color w:val="FF0000"/>
          <w:kern w:val="0"/>
          <w:sz w:val="22"/>
          <w:szCs w:val="22"/>
          <w14:ligatures w14:val="none"/>
        </w:rPr>
        <w:t xml:space="preserve"> disease (AD) accurately and early continues to pose a challenge. This research introduces a learning approach that excels in accuracy and interpretability, opening up new possibilities for improving AD diagnosis.</w:t>
      </w:r>
    </w:p>
    <w:p w:rsidR="00A212D8" w:rsidRPr="00FC7FA7" w:rsidP="00A212D8" w14:paraId="0DC915E1" w14:textId="31948617">
      <w:pPr>
        <w:spacing w:before="100" w:beforeAutospacing="1" w:after="100" w:afterAutospacing="1" w:line="240" w:lineRule="auto"/>
        <w:ind w:firstLine="720"/>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This method's core is a fusion technique applied to modal brain imaging data, specifically MRI and FDG PET scans. It incorporates three components: </w:t>
      </w:r>
      <w:r w:rsidRPr="00FC7FA7">
        <w:rPr>
          <w:rFonts w:eastAsia="Times New Roman" w:asciiTheme="minorBidi" w:hAnsiTheme="minorBidi"/>
          <w:color w:val="FF0000"/>
          <w:kern w:val="0"/>
          <w:sz w:val="22"/>
          <w:szCs w:val="22"/>
          <w14:ligatures w14:val="none"/>
        </w:rPr>
        <w:t>firstly</w:t>
      </w:r>
      <w:r w:rsidRPr="00FC7FA7">
        <w:rPr>
          <w:rFonts w:eastAsia="Times New Roman" w:asciiTheme="minorBidi" w:hAnsiTheme="minorBidi"/>
          <w:color w:val="FF0000"/>
          <w:kern w:val="0"/>
          <w:sz w:val="22"/>
          <w:szCs w:val="22"/>
          <w14:ligatures w14:val="none"/>
        </w:rPr>
        <w:t xml:space="preserve">, capturing interactions between structural and functional brain data to detect better subtle changes associated with AD. Secondly, a new fusion layer integrates features from both types of scans while emphasizing the important ones for classification, making the model more interpretable for clinical use. Lastly, an ensemble classifier with </w:t>
      </w:r>
      <w:r w:rsidRPr="00FC7FA7">
        <w:rPr>
          <w:rFonts w:eastAsia="Times New Roman" w:asciiTheme="minorBidi" w:hAnsiTheme="minorBidi"/>
          <w:color w:val="FF0000"/>
          <w:kern w:val="0"/>
          <w:sz w:val="22"/>
          <w:szCs w:val="22"/>
          <w14:ligatures w14:val="none"/>
        </w:rPr>
        <w:t>attention-based</w:t>
      </w:r>
      <w:r w:rsidRPr="00FC7FA7">
        <w:rPr>
          <w:rFonts w:eastAsia="Times New Roman" w:asciiTheme="minorBidi" w:hAnsiTheme="minorBidi"/>
          <w:color w:val="FF0000"/>
          <w:kern w:val="0"/>
          <w:sz w:val="22"/>
          <w:szCs w:val="22"/>
          <w14:ligatures w14:val="none"/>
        </w:rPr>
        <w:t xml:space="preserve"> weighting combines models to produce generalizable results.</w:t>
      </w:r>
    </w:p>
    <w:p w:rsidR="00A212D8" w:rsidRPr="00FC7FA7" w:rsidP="00A212D8" w14:paraId="765913C7" w14:textId="77777777">
      <w:pPr>
        <w:spacing w:before="100" w:beforeAutospacing="1" w:after="100" w:afterAutospacing="1" w:line="240" w:lineRule="auto"/>
        <w:ind w:firstLine="720"/>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The evaluations confirmed the effectiveness of this approach, with the Inception ResNet50 wrapper model achieving classification accuracy exceeding 94.5% across all tasks. </w:t>
      </w:r>
      <w:r w:rsidRPr="00FC7FA7">
        <w:rPr>
          <w:rFonts w:eastAsia="Times New Roman" w:asciiTheme="minorBidi" w:hAnsiTheme="minorBidi"/>
          <w:color w:val="FF0000"/>
          <w:kern w:val="0"/>
          <w:sz w:val="22"/>
          <w:szCs w:val="22"/>
          <w14:ligatures w14:val="none"/>
        </w:rPr>
        <w:t>Furthermore</w:t>
      </w:r>
      <w:r w:rsidRPr="00FC7FA7">
        <w:rPr>
          <w:rFonts w:eastAsia="Times New Roman" w:asciiTheme="minorBidi" w:hAnsiTheme="minorBidi"/>
          <w:color w:val="FF0000"/>
          <w:kern w:val="0"/>
          <w:sz w:val="22"/>
          <w:szCs w:val="22"/>
          <w14:ligatures w14:val="none"/>
        </w:rPr>
        <w:t>, explainability techniques offered insights into how the model makes decisions. This study introduces an understandable learning framework for classifying AD using multimodal data, laying the groundwork for future advancements in early and precise AD diagnosis.</w:t>
      </w:r>
    </w:p>
    <w:p w:rsidR="00A32B7E" w:rsidRPr="00FC7FA7" w:rsidP="00A32B7E" w14:paraId="1D83EF05" w14:textId="7D4D460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w:t>
      </w:r>
    </w:p>
    <w:p w:rsidR="00A32B7E" w:rsidRPr="00FC7FA7" w:rsidP="00A32B7E" w14:paraId="571E6E7D"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7CEC076D" w14:textId="77777777">
      <w:pPr>
        <w:spacing w:before="100" w:beforeAutospacing="1" w:after="100" w:afterAutospacing="1" w:line="240" w:lineRule="auto"/>
        <w:jc w:val="both"/>
        <w:rPr>
          <w:rFonts w:eastAsia="Times New Roman" w:asciiTheme="minorBidi" w:hAnsiTheme="minorBidi"/>
          <w:kern w:val="0"/>
          <w:sz w:val="22"/>
          <w:szCs w:val="22"/>
          <w14:ligatures w14:val="none"/>
        </w:rPr>
        <w:sectPr w:rsidSect="00A32B7E">
          <w:type w:val="continuous"/>
          <w:pgSz w:w="12240" w:h="15840"/>
          <w:pgMar w:top="1440" w:right="1440" w:bottom="1440" w:left="1440" w:header="720" w:footer="720" w:gutter="0"/>
          <w:cols w:space="720"/>
          <w:docGrid w:linePitch="360"/>
        </w:sectPr>
      </w:pPr>
      <w:r w:rsidRPr="00FC7FA7">
        <w:rPr>
          <w:rFonts w:eastAsia="Times New Roman" w:asciiTheme="minorBidi" w:hAnsiTheme="minorBidi"/>
          <w:b/>
          <w:bCs/>
          <w:kern w:val="0"/>
          <w:sz w:val="22"/>
          <w:szCs w:val="22"/>
          <w14:ligatures w14:val="none"/>
        </w:rPr>
        <w:t>Keywords:</w:t>
      </w:r>
      <w:r w:rsidRPr="00FC7FA7">
        <w:rPr>
          <w:rFonts w:eastAsia="Times New Roman" w:asciiTheme="minorBidi" w:hAnsiTheme="minorBidi"/>
          <w:kern w:val="0"/>
          <w:sz w:val="22"/>
          <w:szCs w:val="22"/>
          <w14:ligatures w14:val="none"/>
        </w:rPr>
        <w:t xml:space="preserve"> Alzheimer's Disease (AD) diagnosis, Multimodal deep learning, Magnetic resonance imaging (MRI), Inception-ResNet50</w:t>
      </w:r>
    </w:p>
    <w:p w:rsidR="00A32B7E" w:rsidRPr="00FC7FA7" w:rsidP="00A32B7E" w14:paraId="76CCD078" w14:textId="2B37D83B">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264D6DD7"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4F3C2CE1"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395A0319"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1D12C048"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5F51AC5E"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6F65A2F8"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4AC8B6CE"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5460D652"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5E17185D"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448F51C7"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60AA87D1"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0ED5FB7B"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79076BD7"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05DECC81"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A32B7E" w:rsidRPr="00FC7FA7" w:rsidP="00A32B7E" w14:paraId="62B60BB5" w14:textId="77777777">
      <w:pPr>
        <w:spacing w:before="100" w:beforeAutospacing="1" w:after="100" w:afterAutospacing="1" w:line="240" w:lineRule="auto"/>
        <w:jc w:val="both"/>
        <w:rPr>
          <w:rFonts w:eastAsia="Times New Roman" w:asciiTheme="minorBidi" w:hAnsiTheme="minorBidi"/>
          <w:kern w:val="0"/>
          <w:sz w:val="22"/>
          <w:szCs w:val="22"/>
          <w14:ligatures w14:val="none"/>
        </w:rPr>
      </w:pPr>
    </w:p>
    <w:p w:rsidR="0074417F" w:rsidRPr="00FC7FA7" w:rsidP="00A32B7E" w14:paraId="5D669E5C" w14:textId="452E12E1">
      <w:pPr>
        <w:pStyle w:val="Heading1"/>
        <w:rPr>
          <w:rFonts w:eastAsia="Times New Roman" w:asciiTheme="minorBidi" w:hAnsiTheme="minorBidi" w:cstheme="minorBidi"/>
          <w:sz w:val="22"/>
          <w:szCs w:val="22"/>
        </w:rPr>
      </w:pPr>
      <w:r w:rsidRPr="00FC7FA7">
        <w:rPr>
          <w:rFonts w:eastAsia="Times New Roman" w:asciiTheme="minorBidi" w:hAnsiTheme="minorBidi" w:cstheme="minorBidi"/>
          <w:b/>
          <w:bCs/>
          <w:color w:val="000000" w:themeColor="text1"/>
          <w:sz w:val="24"/>
          <w:szCs w:val="24"/>
        </w:rPr>
        <w:t>Introduction</w:t>
      </w:r>
      <w:r w:rsidRPr="00FC7FA7">
        <w:rPr>
          <w:rFonts w:eastAsia="Times New Roman" w:asciiTheme="minorBidi" w:hAnsiTheme="minorBidi" w:cstheme="minorBidi"/>
          <w:sz w:val="22"/>
          <w:szCs w:val="22"/>
        </w:rPr>
        <w:t>:</w:t>
      </w:r>
    </w:p>
    <w:p w:rsidR="00A212D8" w:rsidRPr="00FC7FA7" w:rsidP="00A212D8" w14:paraId="38EDD1A2"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A212D8">
        <w:rPr>
          <w:rFonts w:eastAsia="Times New Roman" w:asciiTheme="minorBidi" w:hAnsiTheme="minorBidi"/>
          <w:color w:val="FF0000"/>
          <w:kern w:val="0"/>
          <w:sz w:val="22"/>
          <w:szCs w:val="22"/>
          <w14:ligatures w14:val="none"/>
        </w:rPr>
        <w:t xml:space="preserve">Alzheimer's illness (AD) is a progressive, neurodegenerative disorder characterized by memory lapses and cognitive decline. Alzheimer's disease, now the leading source of dementia worldwide, has millions of affected patients and stresses heavily on health systems. An early, precise diagnosis of AD is critical to the successful management of the disease and subsequent treatment options [1]. </w:t>
      </w:r>
    </w:p>
    <w:p w:rsidR="00A212D8" w:rsidRPr="00A212D8" w:rsidP="00A212D8" w14:paraId="24BE174B" w14:textId="7B1392A6">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A212D8">
        <w:rPr>
          <w:rFonts w:eastAsia="Times New Roman" w:asciiTheme="minorBidi" w:hAnsiTheme="minorBidi"/>
          <w:color w:val="FF0000"/>
          <w:kern w:val="0"/>
          <w:sz w:val="22"/>
          <w:szCs w:val="22"/>
          <w14:ligatures w14:val="none"/>
        </w:rPr>
        <w:t>Nonetheless, conventional diagnostic techniques based on clinical assessments and cognitive tests face limitations, especially during the initial stages. Recent advances in computerized imaging and machine learning (ML) offer promising avenues to improve AD diagnosis. This introduction will review some of the difficulties associated with current diagnostic procedures, show that analyzing multimodal mode in brain imaging might be promising, and consider studies utilizing ML for early detection of AD and increasing its accuracy [2].</w:t>
      </w:r>
    </w:p>
    <w:p w:rsidR="00773160" w:rsidRPr="00FC7FA7" w:rsidP="00A32B7E" w14:paraId="187439A4" w14:textId="220AEC1F">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1.1. Challenges in Current AD Diagnosis</w:t>
      </w:r>
    </w:p>
    <w:p w:rsidR="00A212D8" w:rsidRPr="00A212D8" w:rsidP="00A212D8" w14:paraId="3EC9C163"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A212D8">
        <w:rPr>
          <w:rFonts w:eastAsia="Times New Roman" w:asciiTheme="minorBidi" w:hAnsiTheme="minorBidi"/>
          <w:color w:val="FF0000"/>
          <w:kern w:val="0"/>
          <w:sz w:val="22"/>
          <w:szCs w:val="22"/>
          <w14:ligatures w14:val="none"/>
        </w:rPr>
        <w:t xml:space="preserve">The clinical diagnosis of Alzheimer’s disease (AD) usually depends on cognitive assessments and </w:t>
      </w:r>
      <w:r w:rsidRPr="00A212D8">
        <w:rPr>
          <w:rFonts w:eastAsia="Times New Roman" w:asciiTheme="minorBidi" w:hAnsiTheme="minorBidi"/>
          <w:color w:val="FF0000"/>
          <w:kern w:val="0"/>
          <w:sz w:val="22"/>
          <w:szCs w:val="22"/>
          <w14:ligatures w14:val="none"/>
        </w:rPr>
        <w:t>patients’</w:t>
      </w:r>
      <w:r w:rsidRPr="00A212D8">
        <w:rPr>
          <w:rFonts w:eastAsia="Times New Roman" w:asciiTheme="minorBidi" w:hAnsiTheme="minorBidi"/>
          <w:color w:val="FF0000"/>
          <w:kern w:val="0"/>
          <w:sz w:val="22"/>
          <w:szCs w:val="22"/>
          <w14:ligatures w14:val="none"/>
        </w:rPr>
        <w:t xml:space="preserve"> past medical history. However, such approaches are vital but subjective and have poor sensitivity to the early stages of a disease. More so, an unequivocal diagnosis usually involves an examination of the cerebrospinal fluid (CSF) or conducting costly PET scans that are either coercive or demand many resources, respectively. More objectively accessible and sensitive diagnostic instruments beyond these constraints are necessary.</w:t>
      </w:r>
    </w:p>
    <w:p w:rsidR="00773160" w:rsidRPr="00FC7FA7" w:rsidP="00A32B7E" w14:paraId="7C7135E6" w14:textId="221E18F6">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1.2. Multimodal Brain Imaging for AD Detection</w:t>
      </w:r>
    </w:p>
    <w:p w:rsidR="00A212D8" w:rsidRPr="00FC7FA7" w:rsidP="00A32B7E" w14:paraId="7266EE18"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Brain imaging techniques such as structural magnetic resonance imaging (</w:t>
      </w:r>
      <w:r w:rsidRPr="00FC7FA7">
        <w:rPr>
          <w:rFonts w:eastAsia="Times New Roman" w:asciiTheme="minorBidi" w:hAnsiTheme="minorBidi"/>
          <w:color w:val="FF0000"/>
          <w:kern w:val="0"/>
          <w:sz w:val="22"/>
          <w:szCs w:val="22"/>
          <w14:ligatures w14:val="none"/>
        </w:rPr>
        <w:t>sMRI</w:t>
      </w:r>
      <w:r w:rsidRPr="00FC7FA7">
        <w:rPr>
          <w:rFonts w:eastAsia="Times New Roman" w:asciiTheme="minorBidi" w:hAnsiTheme="minorBidi"/>
          <w:color w:val="FF0000"/>
          <w:kern w:val="0"/>
          <w:sz w:val="22"/>
          <w:szCs w:val="22"/>
          <w14:ligatures w14:val="none"/>
        </w:rPr>
        <w:t>) and functional imaging modalities like fluorodeoxyglucose positron emission tomography (FDG-PET) yield insights that are quite valuable to brain structure and function. SMRI can reveal changes in brain volume and atrophy</w:t>
      </w:r>
      <w:r w:rsidRPr="00FC7FA7">
        <w:rPr>
          <w:rFonts w:eastAsia="Times New Roman" w:asciiTheme="minorBidi" w:hAnsiTheme="minorBidi"/>
          <w:color w:val="FF0000"/>
          <w:kern w:val="0"/>
          <w:sz w:val="22"/>
          <w:szCs w:val="22"/>
          <w14:ligatures w14:val="none"/>
        </w:rPr>
        <w:t>, while BMI changes are reflected on the other hand by FDG-PET as an alteration in glucose metabolism; both situations signify hallmarks of Alzheimer's Disease. Multimodal imaging, which amalgamates information from various modalities, presents a more holistic view of the brain and disease development over time. Multimodal analysis, for example, can potentially enhance the reliability and specificity of early-stage Alzheimer's disease detection by utilizing complementary information from each mode [3] [4].</w:t>
      </w:r>
    </w:p>
    <w:p w:rsidR="00773160" w:rsidRPr="00FC7FA7" w:rsidP="00A32B7E" w14:paraId="545021B4" w14:textId="24693019">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1.3. Machine Learning and Early AD Diagnosis</w:t>
      </w:r>
    </w:p>
    <w:p w:rsidR="00120163" w:rsidRPr="00FC7FA7" w:rsidP="00120163" w14:paraId="58A525F3" w14:textId="77777777">
      <w:pPr>
        <w:jc w:val="both"/>
        <w:rPr>
          <w:rFonts w:asciiTheme="minorBidi" w:hAnsiTheme="minorBidi"/>
          <w:color w:val="FF0000"/>
          <w:sz w:val="22"/>
          <w:szCs w:val="22"/>
        </w:rPr>
      </w:pPr>
      <w:r w:rsidRPr="00FC7FA7">
        <w:rPr>
          <w:rFonts w:asciiTheme="minorBidi" w:hAnsiTheme="minorBidi"/>
          <w:color w:val="FF0000"/>
          <w:sz w:val="22"/>
          <w:szCs w:val="22"/>
        </w:rPr>
        <w:t xml:space="preserve">The potential of machine learning (ML) algorithms in analyzing medical images and assisting disease diagnosis is enormous. These algorithms can learn complex patterns from large data sets of brain images and clinical data, allowing them to pick out subtle changes that occur in </w:t>
      </w:r>
      <w:r w:rsidRPr="00FC7FA7">
        <w:rPr>
          <w:rFonts w:asciiTheme="minorBidi" w:hAnsiTheme="minorBidi"/>
          <w:color w:val="FF0000"/>
          <w:sz w:val="22"/>
          <w:szCs w:val="22"/>
        </w:rPr>
        <w:t>AD[</w:t>
      </w:r>
      <w:r w:rsidRPr="00FC7FA7">
        <w:rPr>
          <w:rFonts w:asciiTheme="minorBidi" w:hAnsiTheme="minorBidi"/>
          <w:color w:val="FF0000"/>
          <w:sz w:val="22"/>
          <w:szCs w:val="22"/>
        </w:rPr>
        <w:t>5][6][7]. Several ML methods like support vector machines (SVMs), random forests (RFs), and deep learning (DL) models are successfully used to classify AD patients versus healthy controls and to distinguish AD from other types of dementia. Additionally, combining multimodal brain image data into ML models may improve diagnostic accuracy for early detection of this condition.</w:t>
      </w:r>
    </w:p>
    <w:p w:rsidR="0074417F" w:rsidRPr="00FC7FA7" w:rsidP="00A213E6" w14:paraId="6486E5FB" w14:textId="6EDBF64A">
      <w:pPr>
        <w:pStyle w:val="Heading2"/>
        <w:rPr>
          <w:rFonts w:eastAsia="Times New Roman" w:asciiTheme="minorBidi" w:hAnsiTheme="minorBidi" w:cstheme="minorBidi"/>
          <w:b/>
          <w:bCs/>
          <w:color w:val="FF0000"/>
          <w:sz w:val="24"/>
          <w:szCs w:val="24"/>
        </w:rPr>
      </w:pPr>
      <w:r w:rsidRPr="00FC7FA7">
        <w:rPr>
          <w:rFonts w:eastAsia="Times New Roman" w:asciiTheme="minorBidi" w:hAnsiTheme="minorBidi" w:cstheme="minorBidi"/>
          <w:b/>
          <w:bCs/>
          <w:color w:val="FF0000"/>
          <w:sz w:val="24"/>
          <w:szCs w:val="24"/>
        </w:rPr>
        <w:t>Background and Related Work:</w:t>
      </w:r>
    </w:p>
    <w:p w:rsidR="00844CEC" w:rsidRPr="00FC7FA7" w:rsidP="00120163" w14:paraId="04E12C55" w14:textId="704F2DF4">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We build upon recent advancements in deep learning for neurodegenerative disease classification,</w:t>
      </w:r>
      <w:r w:rsidRPr="00FC7FA7" w:rsidR="00120163">
        <w:rPr>
          <w:rFonts w:eastAsia="Times New Roman" w:asciiTheme="minorBidi" w:hAnsiTheme="minorBidi"/>
          <w:color w:val="FF0000"/>
          <w:kern w:val="0"/>
          <w:sz w:val="22"/>
          <w:szCs w:val="22"/>
          <w14:ligatures w14:val="none"/>
        </w:rPr>
        <w:t xml:space="preserve"> </w:t>
      </w:r>
      <w:r w:rsidRPr="00FC7FA7">
        <w:rPr>
          <w:rFonts w:eastAsia="Times New Roman" w:asciiTheme="minorBidi" w:hAnsiTheme="minorBidi"/>
          <w:color w:val="FF0000"/>
          <w:kern w:val="0"/>
          <w:sz w:val="22"/>
          <w:szCs w:val="22"/>
          <w14:ligatures w14:val="none"/>
        </w:rPr>
        <w:t>mainly focusing on Alzheimer's Disease (AD) diagnosis. This section reviews relevant research that informs our proposed approach:</w:t>
      </w:r>
    </w:p>
    <w:p w:rsidR="00120163" w:rsidRPr="00FC7FA7" w:rsidP="00A32B7E" w14:paraId="7C8BF9D5"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To detect Alzheimer's Early, Deep Neural Network Analysis of available online data can be applied to predict whether someone has the disease. On the other hand, the interpretability of a model matters. While accurate diagnosis is vital for AD, it is equally important to understand how the model produces predictions. So, we have included explainability techniques and data from [1] to ensure the transparency of our model. We can, therefore, see what aspects are weighed most when classifying and getting important information about the progression of disease, which will help make better health choices [1] [4].</w:t>
      </w:r>
    </w:p>
    <w:p w:rsidR="00120163" w:rsidRPr="00120163" w:rsidP="00120163" w14:paraId="5B68D79C"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120163">
        <w:rPr>
          <w:rFonts w:eastAsia="Times New Roman" w:asciiTheme="minorBidi" w:hAnsiTheme="minorBidi"/>
          <w:color w:val="FF0000"/>
          <w:kern w:val="0"/>
          <w:sz w:val="22"/>
          <w:szCs w:val="22"/>
          <w14:ligatures w14:val="none"/>
        </w:rPr>
        <w:t xml:space="preserve">Multimodal Feature Extraction: It is a well-known fact that deep learning plays a significant role in the analysis of multimodal brain imaging data for diagnosing Alzheimer's disease. Following the work of [2], we delve into the use of a three-dimensional (3D) convolutional neural network (CNN) model to extract features from magnetic resonance imaging (MRI) and fluorodeoxyglucose positron emission tomography (FDG-PET) scans. This method takes advantage of all the complementary information present in each modality. Precisely, 3D CNNs can efficiently capture spatial information extracted from MRI, which helps reveal patterns of brain atrophy and structural changes while revealing patterns in the glucose metabolism surrounding AD through FDG-PET data. Therefore, we hope to blend these two forms as they can give a better representation, leading to an even more accurate </w:t>
      </w:r>
      <w:r w:rsidRPr="00120163">
        <w:rPr>
          <w:rFonts w:eastAsia="Times New Roman" w:asciiTheme="minorBidi" w:hAnsiTheme="minorBidi"/>
          <w:color w:val="FF0000"/>
          <w:kern w:val="0"/>
          <w:sz w:val="22"/>
          <w:szCs w:val="22"/>
          <w14:ligatures w14:val="none"/>
        </w:rPr>
        <w:t>classification[</w:t>
      </w:r>
      <w:r w:rsidRPr="00120163">
        <w:rPr>
          <w:rFonts w:eastAsia="Times New Roman" w:asciiTheme="minorBidi" w:hAnsiTheme="minorBidi"/>
          <w:color w:val="FF0000"/>
          <w:kern w:val="0"/>
          <w:sz w:val="22"/>
          <w:szCs w:val="22"/>
          <w14:ligatures w14:val="none"/>
        </w:rPr>
        <w:t>8][9][10]</w:t>
      </w:r>
    </w:p>
    <w:p w:rsidR="00120163" w:rsidRPr="00FC7FA7" w:rsidP="00A32B7E" w14:paraId="5D315986"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Ensemble Classifiers for Enhanced Precision: Enhancing the robustness and generalizability of machine learning models has been demonstrated by ensemble methods. We look into employing ensemble classifiers in our strategy, building on [3] 's research. This entails using several deep learning models together, which can result in a higher classification accuracy than just one. Ensemble techniques take advantage of the various architectures' strengths and help prevent the likelihood of overfitting, which usually happens in machines when a model performs well for training data but cannot reproduce the same result on unknown data [10][11][12].</w:t>
      </w:r>
    </w:p>
    <w:p w:rsidR="00120163" w:rsidRPr="00FC7FA7" w:rsidP="00120163" w14:paraId="01A7CB65" w14:textId="77777777">
      <w:pPr>
        <w:jc w:val="both"/>
        <w:rPr>
          <w:rFonts w:asciiTheme="minorBidi" w:hAnsiTheme="minorBidi"/>
          <w:color w:val="FF0000"/>
          <w:sz w:val="22"/>
          <w:szCs w:val="22"/>
        </w:rPr>
      </w:pPr>
      <w:r w:rsidRPr="00FC7FA7">
        <w:rPr>
          <w:rFonts w:asciiTheme="minorBidi" w:hAnsiTheme="minorBidi"/>
          <w:color w:val="FF0000"/>
          <w:sz w:val="22"/>
          <w:szCs w:val="22"/>
        </w:rPr>
        <w:t>MCI Recognition with Deep Learning: The MCI, a pre-symptomatic stage of AD, has been adequately identified by deep learning by MRI only, as showcased in [4]. While this study shows what is possible with deep learning to detect early AD, our concern is how much more accurate combining PET data could make us. With both these modalities together, we aim at a more holistic examination, which can help in increasing the sensitivity and specificity of diagnosing AD, especially in its early stages [12] [13] [14].</w:t>
      </w:r>
    </w:p>
    <w:p w:rsidR="0074417F" w:rsidRPr="00FC7FA7" w:rsidP="00A213E6" w14:paraId="30A9A9B4" w14:textId="4CE4D40D">
      <w:pPr>
        <w:pStyle w:val="Heading1"/>
        <w:rPr>
          <w:rFonts w:eastAsia="Times New Roman" w:asciiTheme="minorBidi" w:hAnsiTheme="minorBidi" w:cstheme="minorBidi"/>
          <w:b/>
          <w:bCs/>
          <w:sz w:val="24"/>
          <w:szCs w:val="24"/>
        </w:rPr>
      </w:pPr>
      <w:r w:rsidRPr="00FC7FA7">
        <w:rPr>
          <w:rFonts w:eastAsia="Times New Roman" w:asciiTheme="minorBidi" w:hAnsiTheme="minorBidi" w:cstheme="minorBidi"/>
          <w:b/>
          <w:bCs/>
          <w:sz w:val="24"/>
          <w:szCs w:val="24"/>
        </w:rPr>
        <w:t>Innovation: Multi-level Fusion with Explainability</w:t>
      </w:r>
    </w:p>
    <w:p w:rsidR="0074417F" w:rsidRPr="00FC7FA7" w:rsidP="00A32B7E" w14:paraId="77E02558"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This work introduces a novel multi-level fusion strategy with explainability:</w:t>
      </w:r>
    </w:p>
    <w:p w:rsidR="0074417F" w:rsidRPr="00FC7FA7" w:rsidP="00A32B7E" w14:paraId="6D05A1B1" w14:textId="77777777">
      <w:pPr>
        <w:numPr>
          <w:ilvl w:val="0"/>
          <w:numId w:val="4"/>
        </w:num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Early Feature Level Fusion:</w:t>
      </w:r>
      <w:r w:rsidRPr="00FC7FA7">
        <w:rPr>
          <w:rFonts w:eastAsia="Times New Roman" w:asciiTheme="minorBidi" w:hAnsiTheme="minorBidi"/>
          <w:color w:val="215E99" w:themeColor="text2" w:themeTint="BF"/>
          <w:kern w:val="0"/>
          <w:sz w:val="22"/>
          <w:szCs w:val="22"/>
          <w14:ligatures w14:val="none"/>
        </w:rPr>
        <w:t xml:space="preserve"> We propose fusing low-level features extracted from MRI and PET by the 3D CNNs. This allows the model to learn the early-stage interactions between structural and functional information in the brain.</w:t>
      </w:r>
    </w:p>
    <w:p w:rsidR="0074417F" w:rsidRPr="00FC7FA7" w:rsidP="00A32B7E" w14:paraId="0C1905E7" w14:textId="6A7D1A38">
      <w:pPr>
        <w:numPr>
          <w:ilvl w:val="0"/>
          <w:numId w:val="4"/>
        </w:num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Explainable High-Level Fusion:</w:t>
      </w:r>
      <w:r w:rsidRPr="00FC7FA7">
        <w:rPr>
          <w:rFonts w:eastAsia="Times New Roman" w:asciiTheme="minorBidi" w:hAnsiTheme="minorBidi"/>
          <w:color w:val="215E99" w:themeColor="text2" w:themeTint="BF"/>
          <w:kern w:val="0"/>
          <w:sz w:val="22"/>
          <w:szCs w:val="22"/>
          <w14:ligatures w14:val="none"/>
        </w:rPr>
        <w:t xml:space="preserve"> </w:t>
      </w:r>
      <w:r w:rsidRPr="00FC7FA7" w:rsidR="00FF6690">
        <w:rPr>
          <w:rFonts w:eastAsia="Times New Roman" w:asciiTheme="minorBidi" w:hAnsiTheme="minorBidi"/>
          <w:color w:val="215E99" w:themeColor="text2" w:themeTint="BF"/>
          <w:kern w:val="0"/>
          <w:sz w:val="22"/>
          <w:szCs w:val="22"/>
          <w14:ligatures w14:val="none"/>
        </w:rPr>
        <w:t>For post-purification feature extraction, we propose an explicable merging layer that integrates high-level components from both types of content. This layer uses methods such as attention mechanisms to draw attention to the key elements most pertinent to classification while enabling one to determine how the model arrived at this.</w:t>
      </w:r>
    </w:p>
    <w:p w:rsidR="0074417F" w:rsidRPr="00FC7FA7" w:rsidP="00A213E6" w14:paraId="37043979" w14:textId="13E1AA9A">
      <w:pPr>
        <w:pStyle w:val="Heading1"/>
        <w:rPr>
          <w:rFonts w:eastAsia="Times New Roman" w:asciiTheme="minorBidi" w:hAnsiTheme="minorBidi" w:cstheme="minorBidi"/>
          <w:b/>
          <w:bCs/>
          <w:color w:val="215E99" w:themeColor="text2" w:themeTint="BF"/>
          <w:sz w:val="24"/>
          <w:szCs w:val="24"/>
        </w:rPr>
      </w:pPr>
      <w:r w:rsidRPr="00FC7FA7">
        <w:rPr>
          <w:rFonts w:eastAsia="Times New Roman" w:asciiTheme="minorBidi" w:hAnsiTheme="minorBidi" w:cstheme="minorBidi"/>
          <w:b/>
          <w:bCs/>
          <w:color w:val="215E99" w:themeColor="text2" w:themeTint="BF"/>
          <w:sz w:val="24"/>
          <w:szCs w:val="24"/>
        </w:rPr>
        <w:t>Methods:</w:t>
      </w:r>
    </w:p>
    <w:p w:rsidR="0074417F" w:rsidRPr="00FC7FA7" w:rsidP="00A32B7E" w14:paraId="381DA688"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We will detail the following aspects of our proposed approach in the entire manuscript:</w:t>
      </w:r>
    </w:p>
    <w:p w:rsidR="00A1734C" w:rsidRPr="00FC7FA7" w:rsidP="00A32B7E" w14:paraId="465EB39E"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 xml:space="preserve">Drawing from the advantages of the proposed techniques, we present a novel method for diagnosing Alzheimer's disease (AD) with multimodal data (MRI+PET). </w:t>
      </w:r>
    </w:p>
    <w:p w:rsidR="00100EE6" w:rsidRPr="00FC7FA7" w:rsidP="00A32B7E" w14:paraId="4B65DC3A" w14:textId="48E2F85C">
      <w:pPr>
        <w:spacing w:before="100" w:beforeAutospacing="1" w:after="100" w:afterAutospacing="1" w:line="240" w:lineRule="auto"/>
        <w:jc w:val="both"/>
        <w:rPr>
          <w:rFonts w:eastAsia="Times New Roman" w:asciiTheme="minorBidi" w:hAnsiTheme="minorBidi"/>
          <w:b/>
          <w:bCs/>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4.1 Data Acquisition and Preprocessing (Enhanced with Spatial Normalization):</w:t>
      </w:r>
    </w:p>
    <w:p w:rsidR="00A1734C" w:rsidRPr="00FC7FA7" w:rsidP="00A1734C" w14:paraId="6C1ADC06"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 xml:space="preserve"> </w:t>
      </w:r>
      <w:r w:rsidRPr="00FC7FA7">
        <w:rPr>
          <w:rFonts w:eastAsia="Times New Roman" w:asciiTheme="minorBidi" w:hAnsiTheme="minorBidi"/>
          <w:color w:val="215E99" w:themeColor="text2" w:themeTint="BF"/>
          <w:kern w:val="0"/>
          <w:sz w:val="22"/>
          <w:szCs w:val="22"/>
          <w14:ligatures w14:val="none"/>
        </w:rPr>
        <w:t xml:space="preserve">Data Set: Use the OASIS dataset while adding more datasets to increase generalizability. Participant Demographics: Provide a thorough analysis of demographics, highlighting potential biases and investigating sub-group analyses for deeper understanding. Preprocessing: Carry out the aforementioned preprocessing methods (Fourier et al. filtering) and apply spatial normalization techniques. This helps align brain structures among different participants, which also aids in extracting more features by CNN using Statistical Parametric </w:t>
      </w:r>
      <w:r w:rsidRPr="00FC7FA7">
        <w:rPr>
          <w:rFonts w:eastAsia="Times New Roman" w:asciiTheme="minorBidi" w:hAnsiTheme="minorBidi"/>
          <w:color w:val="215E99" w:themeColor="text2" w:themeTint="BF"/>
          <w:kern w:val="0"/>
          <w:sz w:val="22"/>
          <w:szCs w:val="22"/>
          <w14:ligatures w14:val="none"/>
        </w:rPr>
        <w:t>Mapping(</w:t>
      </w:r>
      <w:r w:rsidRPr="00FC7FA7">
        <w:rPr>
          <w:rFonts w:eastAsia="Times New Roman" w:asciiTheme="minorBidi" w:hAnsiTheme="minorBidi"/>
          <w:color w:val="215E99" w:themeColor="text2" w:themeTint="BF"/>
          <w:kern w:val="0"/>
          <w:sz w:val="22"/>
          <w:szCs w:val="22"/>
          <w14:ligatures w14:val="none"/>
        </w:rPr>
        <w:t xml:space="preserve">SPM) voxel-based </w:t>
      </w:r>
      <w:r w:rsidRPr="00FC7FA7">
        <w:rPr>
          <w:rFonts w:eastAsia="Times New Roman" w:asciiTheme="minorBidi" w:hAnsiTheme="minorBidi"/>
          <w:color w:val="215E99" w:themeColor="text2" w:themeTint="BF"/>
          <w:kern w:val="0"/>
          <w:sz w:val="22"/>
          <w:szCs w:val="22"/>
          <w14:ligatures w14:val="none"/>
        </w:rPr>
        <w:t>morphometry</w:t>
      </w:r>
      <w:r w:rsidRPr="00FC7FA7">
        <w:rPr>
          <w:rFonts w:eastAsia="Times New Roman" w:asciiTheme="minorBidi" w:hAnsiTheme="minorBidi"/>
          <w:color w:val="215E99" w:themeColor="text2" w:themeTint="BF"/>
          <w:kern w:val="0"/>
          <w:sz w:val="22"/>
          <w:szCs w:val="22"/>
          <w14:ligatures w14:val="none"/>
        </w:rPr>
        <w:t xml:space="preserve"> try (VBM) technique,ues, as stated in [15].</w:t>
      </w:r>
    </w:p>
    <w:p w:rsidR="00100EE6" w:rsidRPr="00FC7FA7" w:rsidP="00A1734C" w14:paraId="226FE31C" w14:textId="3904115D">
      <w:pPr>
        <w:spacing w:before="100" w:beforeAutospacing="1" w:after="100" w:afterAutospacing="1" w:line="240" w:lineRule="auto"/>
        <w:jc w:val="both"/>
        <w:rPr>
          <w:rFonts w:eastAsia="Times New Roman" w:asciiTheme="minorBidi" w:hAnsiTheme="minorBidi"/>
          <w:b/>
          <w:bCs/>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 xml:space="preserve">4.2 </w:t>
      </w:r>
      <w:r w:rsidRPr="00FC7FA7">
        <w:rPr>
          <w:rFonts w:eastAsia="Times New Roman" w:asciiTheme="minorBidi" w:hAnsiTheme="minorBidi"/>
          <w:b/>
          <w:bCs/>
          <w:color w:val="215E99" w:themeColor="text2" w:themeTint="BF"/>
          <w:kern w:val="0"/>
          <w:sz w:val="22"/>
          <w:szCs w:val="22"/>
          <w14:ligatures w14:val="none"/>
        </w:rPr>
        <w:t xml:space="preserve"> Deep</w:t>
      </w:r>
      <w:r w:rsidRPr="00FC7FA7">
        <w:rPr>
          <w:rFonts w:eastAsia="Times New Roman" w:asciiTheme="minorBidi" w:hAnsiTheme="minorBidi"/>
          <w:b/>
          <w:bCs/>
          <w:color w:val="215E99" w:themeColor="text2" w:themeTint="BF"/>
          <w:kern w:val="0"/>
          <w:sz w:val="22"/>
          <w:szCs w:val="22"/>
          <w14:ligatures w14:val="none"/>
        </w:rPr>
        <w:t xml:space="preserve"> Learning Architecture with Explainable Fusion and Attention</w:t>
      </w:r>
    </w:p>
    <w:p w:rsidR="00A1734C" w:rsidRPr="00FC7FA7" w:rsidP="00A32B7E" w14:paraId="658BD511"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A 3D CNN for Feature Extraction: Hold on to the 3D CNN design yet add attention mechanisms. They concentrate on critical regions of brain scans, which help develop their importance and interpretability. Explainable Fusion Layer: Create a unique explanatory fusion layer that is more than just plain concatenation. Try out gated fusion or attributes like multi-scale feature fusion. These enable the model to discern how each MRI and PET modality's features matter and interact in classifying diseases.</w:t>
      </w:r>
    </w:p>
    <w:p w:rsidR="00100EE6" w:rsidRPr="00FC7FA7" w:rsidP="00A32B7E" w14:paraId="49BF6BD6" w14:textId="08E8C9A1">
      <w:pPr>
        <w:spacing w:before="100" w:beforeAutospacing="1" w:after="100" w:afterAutospacing="1" w:line="240" w:lineRule="auto"/>
        <w:jc w:val="both"/>
        <w:rPr>
          <w:rFonts w:eastAsia="Times New Roman" w:asciiTheme="minorBidi" w:hAnsiTheme="minorBidi"/>
          <w:b/>
          <w:bCs/>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4.3</w:t>
      </w:r>
      <w:r w:rsidRPr="00FC7FA7">
        <w:rPr>
          <w:rFonts w:eastAsia="Times New Roman" w:asciiTheme="minorBidi" w:hAnsiTheme="minorBidi"/>
          <w:b/>
          <w:bCs/>
          <w:color w:val="215E99" w:themeColor="text2" w:themeTint="BF"/>
          <w:kern w:val="0"/>
          <w:sz w:val="22"/>
          <w:szCs w:val="22"/>
          <w14:ligatures w14:val="none"/>
        </w:rPr>
        <w:t xml:space="preserve"> Ensemble Classifier with Attention-based Weighting:</w:t>
      </w:r>
    </w:p>
    <w:p w:rsidR="00A1734C" w:rsidRPr="00FC7FA7" w:rsidP="00A32B7E" w14:paraId="71F100CE"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Ensemble Techniques: Rather than utilizing only one ensemble approach, combine techniques such as stacking and boosting. This involves training multiple models one after another by using outputs from one level as inputs to the second in Stacking. Boosting, conversely, is about training models iteratively by focusing on the data points that earlier models faltered. Attention-based Weighting: The ensemble integrates attention mechanisms to assign different weights to predict individual models based on their performance on specific data sets or modalities. By doing so, it utilizes strengths within each model and simultaneously lowers their weaknesses.</w:t>
      </w:r>
    </w:p>
    <w:p w:rsidR="00100EE6" w:rsidRPr="00FC7FA7" w:rsidP="00A32B7E" w14:paraId="2B714721" w14:textId="7E2F26D0">
      <w:pPr>
        <w:spacing w:before="100" w:beforeAutospacing="1" w:after="100" w:afterAutospacing="1" w:line="240" w:lineRule="auto"/>
        <w:jc w:val="both"/>
        <w:rPr>
          <w:rFonts w:eastAsia="Times New Roman" w:asciiTheme="minorBidi" w:hAnsiTheme="minorBidi"/>
          <w:b/>
          <w:bCs/>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4.4</w:t>
      </w:r>
      <w:r w:rsidRPr="00FC7FA7">
        <w:rPr>
          <w:rFonts w:eastAsia="Times New Roman" w:asciiTheme="minorBidi" w:hAnsiTheme="minorBidi"/>
          <w:b/>
          <w:bCs/>
          <w:color w:val="215E99" w:themeColor="text2" w:themeTint="BF"/>
          <w:kern w:val="0"/>
          <w:sz w:val="22"/>
          <w:szCs w:val="22"/>
          <w14:ligatures w14:val="none"/>
        </w:rPr>
        <w:t xml:space="preserve"> Evaluation Metrics with Explainability Analysis:</w:t>
      </w:r>
    </w:p>
    <w:p w:rsidR="00A1734C" w:rsidRPr="00FC7FA7" w:rsidP="00A1734C" w14:paraId="316CE966"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 xml:space="preserve">Typical Measure: Employ accuracy, sensitivity, specificity, and AUC for comprehensive performance appraisal. Disclosing Analysis: Grad-CAM (Gradient-weighted Class Activation Mapping) or LIME (Local Interpretable Model-agnostic Explanations) are methods that can be used to highlight the areas on human brain scans whose contribution to the model's prediction is high. This promotes truthfulness and enhances understanding of why a model made a particular decision. </w:t>
      </w:r>
    </w:p>
    <w:p w:rsidR="00CE4EE8" w:rsidRPr="00FC7FA7" w:rsidP="00A1734C" w14:paraId="22DF189E" w14:textId="3847B163">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 xml:space="preserve">This revolutionary method incorporates explainable feature fusion, </w:t>
      </w:r>
      <w:r w:rsidRPr="00FC7FA7">
        <w:rPr>
          <w:rFonts w:eastAsia="Times New Roman" w:asciiTheme="minorBidi" w:hAnsiTheme="minorBidi"/>
          <w:color w:val="215E99" w:themeColor="text2" w:themeTint="BF"/>
          <w:kern w:val="0"/>
          <w:sz w:val="22"/>
          <w:szCs w:val="22"/>
          <w14:ligatures w14:val="none"/>
        </w:rPr>
        <w:t>attention-based</w:t>
      </w:r>
      <w:r w:rsidRPr="00FC7FA7">
        <w:rPr>
          <w:rFonts w:eastAsia="Times New Roman" w:asciiTheme="minorBidi" w:hAnsiTheme="minorBidi"/>
          <w:color w:val="215E99" w:themeColor="text2" w:themeTint="BF"/>
          <w:kern w:val="0"/>
          <w:sz w:val="22"/>
          <w:szCs w:val="22"/>
          <w14:ligatures w14:val="none"/>
        </w:rPr>
        <w:t xml:space="preserve"> feature selection, and an attention-weighted ensemble, improving accuracy and interpretability. In AD classification, spatial normalization and a range of ensemble techniques would enable this model to attain strong and transferable </w:t>
      </w:r>
      <w:r w:rsidRPr="00FC7FA7">
        <w:rPr>
          <w:rFonts w:eastAsia="Times New Roman" w:asciiTheme="minorBidi" w:hAnsiTheme="minorBidi"/>
          <w:color w:val="215E99" w:themeColor="text2" w:themeTint="BF"/>
          <w:kern w:val="0"/>
          <w:sz w:val="22"/>
          <w:szCs w:val="22"/>
          <w14:ligatures w14:val="none"/>
        </w:rPr>
        <w:t>performance[</w:t>
      </w:r>
      <w:r w:rsidRPr="00FC7FA7">
        <w:rPr>
          <w:rFonts w:eastAsia="Times New Roman" w:asciiTheme="minorBidi" w:hAnsiTheme="minorBidi"/>
          <w:color w:val="215E99" w:themeColor="text2" w:themeTint="BF"/>
          <w:kern w:val="0"/>
          <w:sz w:val="22"/>
          <w:szCs w:val="22"/>
          <w14:ligatures w14:val="none"/>
        </w:rPr>
        <w:t xml:space="preserve">16]. The manuscript will display the model assessment results against contemporary approaches while examining the implications of explainability methods alongside our suggested multi-level fusion technique. In addition, we will outline the advantages and disadvantages of the suggested approach and investigate how it could be used in </w:t>
      </w:r>
      <w:r w:rsidRPr="00FC7FA7">
        <w:rPr>
          <w:rFonts w:eastAsia="Times New Roman" w:asciiTheme="minorBidi" w:hAnsiTheme="minorBidi"/>
          <w:color w:val="215E99" w:themeColor="text2" w:themeTint="BF"/>
          <w:kern w:val="0"/>
          <w:sz w:val="22"/>
          <w:szCs w:val="22"/>
          <w14:ligatures w14:val="none"/>
        </w:rPr>
        <w:t>hospitals</w:t>
      </w:r>
      <w:r w:rsidRPr="00FC7FA7" w:rsidR="0074417F">
        <w:rPr>
          <w:rFonts w:eastAsia="Times New Roman" w:asciiTheme="minorBidi" w:hAnsiTheme="minorBidi"/>
          <w:color w:val="215E99" w:themeColor="text2" w:themeTint="BF"/>
          <w:kern w:val="0"/>
          <w:sz w:val="22"/>
          <w:szCs w:val="22"/>
          <w14:ligatures w14:val="none"/>
        </w:rPr>
        <w:t>.</w:t>
      </w:r>
    </w:p>
    <w:p w:rsidR="00CE4EE8" w:rsidRPr="00FC7FA7" w:rsidP="00A32B7E" w14:paraId="19D5883C" w14:textId="328E9461">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Fig.1 our proposed methodology diagram</w:t>
      </w:r>
      <w:r w:rsidRPr="00FC7FA7">
        <w:rPr>
          <w:rFonts w:eastAsia="Times New Roman" w:asciiTheme="minorBidi" w:hAnsiTheme="minorBidi"/>
          <w:noProof/>
          <w:color w:val="215E99" w:themeColor="text2" w:themeTint="BF"/>
          <w:kern w:val="0"/>
          <w:sz w:val="22"/>
          <w:szCs w:val="22"/>
        </w:rPr>
        <w:drawing>
          <wp:inline distT="0" distB="0" distL="0" distR="0">
            <wp:extent cx="2612738" cy="6339840"/>
            <wp:effectExtent l="0" t="0" r="0" b="3810"/>
            <wp:docPr id="44301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4247" name="Picture 443014247"/>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2621615" cy="6361381"/>
                    </a:xfrm>
                    <a:prstGeom prst="rect">
                      <a:avLst/>
                    </a:prstGeom>
                  </pic:spPr>
                </pic:pic>
              </a:graphicData>
            </a:graphic>
          </wp:inline>
        </w:drawing>
      </w:r>
    </w:p>
    <w:p w:rsidR="0074417F" w:rsidRPr="00FC7FA7" w:rsidP="006478FC" w14:paraId="048DF78D" w14:textId="1491795D">
      <w:pPr>
        <w:pStyle w:val="Heading1"/>
        <w:rPr>
          <w:rFonts w:eastAsia="Times New Roman" w:asciiTheme="minorBidi" w:hAnsiTheme="minorBidi" w:cstheme="minorBidi"/>
          <w:b/>
          <w:bCs/>
          <w:color w:val="000000" w:themeColor="text1"/>
          <w:sz w:val="24"/>
          <w:szCs w:val="24"/>
        </w:rPr>
      </w:pPr>
      <w:r w:rsidRPr="00FC7FA7">
        <w:rPr>
          <w:rFonts w:eastAsia="Times New Roman" w:asciiTheme="minorBidi" w:hAnsiTheme="minorBidi" w:cstheme="minorBidi"/>
          <w:b/>
          <w:bCs/>
          <w:color w:val="000000" w:themeColor="text1"/>
          <w:sz w:val="24"/>
          <w:szCs w:val="24"/>
        </w:rPr>
        <w:t>Results</w:t>
      </w:r>
      <w:r w:rsidRPr="00FC7FA7">
        <w:rPr>
          <w:rFonts w:eastAsia="Times New Roman" w:asciiTheme="minorBidi" w:hAnsiTheme="minorBidi" w:cstheme="minorBidi"/>
          <w:b/>
          <w:bCs/>
          <w:color w:val="000000" w:themeColor="text1"/>
          <w:sz w:val="24"/>
          <w:szCs w:val="24"/>
        </w:rPr>
        <w:t>:</w:t>
      </w:r>
    </w:p>
    <w:p w:rsidR="009D73D7" w:rsidRPr="00FC7FA7" w:rsidP="00A32B7E" w14:paraId="27CE9FCB" w14:textId="753B2B80">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This section presents the evaluation results of our proposed multimodal deep learning approach for Alzheimer's Disease (AD) classification using MRI and PET scans.</w:t>
      </w:r>
    </w:p>
    <w:p w:rsidR="009D73D7" w:rsidRPr="00FC7FA7" w:rsidP="00A32B7E" w14:paraId="51E5891D" w14:textId="7A00C7A1">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We compared the performance of our model with existing methods and analyzed the impact of the implemented techniques.</w:t>
      </w:r>
    </w:p>
    <w:p w:rsidR="009D73D7" w:rsidRPr="00FC7FA7" w:rsidP="00A32B7E" w14:paraId="7A62D5AE" w14:textId="0AF76EB1">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Fonts w:eastAsia="Times New Roman" w:asciiTheme="minorBidi" w:hAnsiTheme="minorBidi"/>
          <w:b/>
          <w:bCs/>
          <w:color w:val="FF0000"/>
          <w:kern w:val="0"/>
          <w:sz w:val="22"/>
          <w:szCs w:val="22"/>
          <w14:ligatures w14:val="none"/>
        </w:rPr>
        <w:t>Evaluation Metrics:</w:t>
      </w:r>
    </w:p>
    <w:p w:rsidR="009D73D7" w:rsidRPr="00FC7FA7" w:rsidP="00A32B7E" w14:paraId="3C2678D8" w14:textId="515E31E0">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We employed standard classification metrics for overall performance evaluation:</w:t>
      </w:r>
    </w:p>
    <w:p w:rsidR="009D73D7" w:rsidRPr="00FC7FA7" w:rsidP="00A32B7E" w14:paraId="2AF6D987" w14:textId="51324430">
      <w:pPr>
        <w:pStyle w:val="ListParagraph"/>
        <w:numPr>
          <w:ilvl w:val="0"/>
          <w:numId w:val="8"/>
        </w:num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Accuracy: Proportion of correctly classified cases (HC, MCI, AD)</w:t>
      </w:r>
    </w:p>
    <w:p w:rsidR="009D73D7" w:rsidRPr="00FC7FA7" w:rsidP="00A32B7E" w14:paraId="5B03C876" w14:textId="27D3BED1">
      <w:pPr>
        <w:pStyle w:val="ListParagraph"/>
        <w:numPr>
          <w:ilvl w:val="0"/>
          <w:numId w:val="8"/>
        </w:num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Sensitivity (Recall): Ratio of correctly identified patients (AD or MCI)</w:t>
      </w:r>
    </w:p>
    <w:p w:rsidR="009D73D7" w:rsidRPr="00FC7FA7" w:rsidP="001D5028" w14:paraId="3B2E4E74" w14:textId="35013ABB">
      <w:pPr>
        <w:pStyle w:val="ListParagraph"/>
        <w:numPr>
          <w:ilvl w:val="0"/>
          <w:numId w:val="8"/>
        </w:num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Specificity: Ratio of correctly identified healthy controls (HC)</w:t>
      </w:r>
      <w:r w:rsidRPr="00FC7FA7" w:rsidR="00C30567">
        <w:rPr>
          <w:rFonts w:eastAsia="Times New Roman" w:asciiTheme="minorBidi" w:hAnsiTheme="minorBidi"/>
          <w:color w:val="FF0000"/>
          <w:kern w:val="0"/>
          <w:sz w:val="22"/>
          <w:szCs w:val="22"/>
          <w14:ligatures w14:val="none"/>
        </w:rPr>
        <w:t xml:space="preserve"> [17]</w:t>
      </w:r>
    </w:p>
    <w:p w:rsidR="009D73D7" w:rsidRPr="00FC7FA7" w:rsidP="00A32B7E" w14:paraId="4A4BA295" w14:textId="1EDD4AEF">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Area Under the Curve (AUC): Measure of the ROC curve, reflecting the model's ability to discriminate between classes</w:t>
      </w:r>
    </w:p>
    <w:p w:rsidR="009D73D7" w:rsidRPr="00FC7FA7" w:rsidP="00A32B7E" w14:paraId="3736A2B3" w14:textId="2A908060">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Fonts w:eastAsia="Times New Roman" w:asciiTheme="minorBidi" w:hAnsiTheme="minorBidi"/>
          <w:b/>
          <w:bCs/>
          <w:color w:val="FF0000"/>
          <w:kern w:val="0"/>
          <w:sz w:val="22"/>
          <w:szCs w:val="22"/>
          <w14:ligatures w14:val="none"/>
        </w:rPr>
        <w:t>Explainability Analysis:</w:t>
      </w:r>
    </w:p>
    <w:p w:rsidR="009D73D7" w:rsidRPr="00FC7FA7" w:rsidP="00A32B7E" w14:paraId="6AB877A5" w14:textId="0499BCA5">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To enhance interpretability, we utilized techniques like Grad-CAM (Gradient-weighted Class Activation Mapping) or LIME (Local Interpretable Model-agnostic Explanations) to visualize the brain regions most influential in the model's predictions.</w:t>
      </w:r>
    </w:p>
    <w:p w:rsidR="009D73D7" w:rsidRPr="00FC7FA7" w:rsidP="00A32B7E" w14:paraId="51FA01CE" w14:textId="18E6AA49">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Fonts w:eastAsia="Times New Roman" w:asciiTheme="minorBidi" w:hAnsiTheme="minorBidi"/>
          <w:b/>
          <w:bCs/>
          <w:color w:val="FF0000"/>
          <w:kern w:val="0"/>
          <w:sz w:val="22"/>
          <w:szCs w:val="22"/>
          <w14:ligatures w14:val="none"/>
        </w:rPr>
        <w:t>Model Comparison and Performance:</w:t>
      </w:r>
    </w:p>
    <w:p w:rsidR="00A1734C" w:rsidRPr="00FC7FA7" w:rsidP="00A32B7E" w14:paraId="08F5CA5F"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We made and contrasted image-based CNN models like Inception-ResNet50, ResNet-50, VGG-16, </w:t>
      </w:r>
      <w:r w:rsidRPr="00FC7FA7">
        <w:rPr>
          <w:rFonts w:eastAsia="Times New Roman" w:asciiTheme="minorBidi" w:hAnsiTheme="minorBidi"/>
          <w:color w:val="FF0000"/>
          <w:kern w:val="0"/>
          <w:sz w:val="22"/>
          <w:szCs w:val="22"/>
          <w14:ligatures w14:val="none"/>
        </w:rPr>
        <w:t>AlexNet</w:t>
      </w:r>
      <w:r w:rsidRPr="00FC7FA7">
        <w:rPr>
          <w:rFonts w:eastAsia="Times New Roman" w:asciiTheme="minorBidi" w:hAnsiTheme="minorBidi"/>
          <w:color w:val="FF0000"/>
          <w:kern w:val="0"/>
          <w:sz w:val="22"/>
          <w:szCs w:val="22"/>
          <w14:ligatures w14:val="none"/>
        </w:rPr>
        <w:t>, etc. The data was gathered from different sources in order for it to be generalizable. In conclusion, the Inception-ResNet50 wrapper model proposed here exhibited the best results:</w:t>
      </w:r>
    </w:p>
    <w:p w:rsidR="009D73D7" w:rsidRPr="00FC7FA7" w:rsidP="00A32B7E" w14:paraId="2F95F215" w14:textId="0DCCE83B">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95.5% for HC vs. MCI</w:t>
      </w:r>
    </w:p>
    <w:p w:rsidR="009D73D7" w:rsidRPr="00FC7FA7" w:rsidP="00A32B7E" w14:paraId="2674DE3B" w14:textId="77777777">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94.6% for MCI vs. AD</w:t>
      </w:r>
    </w:p>
    <w:p w:rsidR="009D73D7" w:rsidRPr="00FC7FA7" w:rsidP="00A32B7E" w14:paraId="4343687E" w14:textId="641F69AA">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95.7% for HC vs. AD</w:t>
      </w:r>
    </w:p>
    <w:p w:rsidR="009D73D7" w:rsidRPr="00FC7FA7" w:rsidP="00A32B7E" w14:paraId="587AE030" w14:textId="242592F9">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This performance surpassed other CNN models, which ranged from 81.9% to 89.4% accuracy across different classification tasks.</w:t>
      </w:r>
    </w:p>
    <w:p w:rsidR="009D73D7" w:rsidRPr="00FC7FA7" w:rsidP="00A32B7E" w14:paraId="2708F78D" w14:textId="0E2B3FB4">
      <w:pPr>
        <w:spacing w:before="100" w:beforeAutospacing="1" w:after="100" w:afterAutospacing="1" w:line="240" w:lineRule="auto"/>
        <w:jc w:val="both"/>
        <w:rPr>
          <w:rFonts w:eastAsia="Times New Roman" w:asciiTheme="minorBidi" w:hAnsiTheme="minorBidi"/>
          <w:color w:val="FF0000"/>
          <w:kern w:val="0"/>
          <w:sz w:val="20"/>
          <w:szCs w:val="20"/>
          <w14:ligatures w14:val="none"/>
        </w:rPr>
      </w:pPr>
      <w:r w:rsidRPr="00FC7FA7">
        <w:rPr>
          <w:rFonts w:eastAsia="Times New Roman" w:asciiTheme="minorBidi" w:hAnsiTheme="minorBidi"/>
          <w:color w:val="FF0000"/>
          <w:kern w:val="0"/>
          <w:sz w:val="20"/>
          <w:szCs w:val="20"/>
          <w14:ligatures w14:val="none"/>
        </w:rPr>
        <w:t>Table 1: Performance Comparison of Different CNN Models for AD Classification</w:t>
      </w:r>
    </w:p>
    <w:tbl>
      <w:tblPr>
        <w:tblStyle w:val="TableGrid"/>
        <w:tblW w:w="4426" w:type="dxa"/>
        <w:tblLook w:val="04A0"/>
      </w:tblPr>
      <w:tblGrid>
        <w:gridCol w:w="1261"/>
        <w:gridCol w:w="1121"/>
        <w:gridCol w:w="1121"/>
        <w:gridCol w:w="1121"/>
      </w:tblGrid>
      <w:tr w14:paraId="0F42CFF2" w14:textId="77777777" w:rsidTr="006478FC">
        <w:tblPrEx>
          <w:tblW w:w="4426" w:type="dxa"/>
          <w:tblLook w:val="04A0"/>
        </w:tblPrEx>
        <w:trPr>
          <w:trHeight w:val="362"/>
        </w:trPr>
        <w:tc>
          <w:tcPr>
            <w:tcW w:w="1261" w:type="dxa"/>
            <w:noWrap/>
            <w:hideMark/>
          </w:tcPr>
          <w:p w:rsidR="009D73D7" w:rsidRPr="00FC7FA7" w:rsidP="00A32B7E" w14:paraId="2C09BAC7"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Model</w:t>
            </w:r>
          </w:p>
        </w:tc>
        <w:tc>
          <w:tcPr>
            <w:tcW w:w="1055" w:type="dxa"/>
            <w:noWrap/>
            <w:hideMark/>
          </w:tcPr>
          <w:p w:rsidR="009D73D7" w:rsidRPr="00FC7FA7" w:rsidP="00A32B7E" w14:paraId="0C4F1FB7"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HC vs. MCI Accuracy</w:t>
            </w:r>
          </w:p>
        </w:tc>
        <w:tc>
          <w:tcPr>
            <w:tcW w:w="1055" w:type="dxa"/>
            <w:noWrap/>
            <w:hideMark/>
          </w:tcPr>
          <w:p w:rsidR="009D73D7" w:rsidRPr="00FC7FA7" w:rsidP="00A32B7E" w14:paraId="52806487"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MCI vs. AD Accuracy</w:t>
            </w:r>
          </w:p>
        </w:tc>
        <w:tc>
          <w:tcPr>
            <w:tcW w:w="1055" w:type="dxa"/>
            <w:noWrap/>
            <w:hideMark/>
          </w:tcPr>
          <w:p w:rsidR="009D73D7" w:rsidRPr="00FC7FA7" w:rsidP="00A32B7E" w14:paraId="229D7FF6"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HC vs. AD Accuracy</w:t>
            </w:r>
          </w:p>
        </w:tc>
      </w:tr>
      <w:tr w14:paraId="1CCDF5D6" w14:textId="77777777" w:rsidTr="006478FC">
        <w:tblPrEx>
          <w:tblW w:w="4426" w:type="dxa"/>
          <w:tblLook w:val="04A0"/>
        </w:tblPrEx>
        <w:trPr>
          <w:trHeight w:val="362"/>
        </w:trPr>
        <w:tc>
          <w:tcPr>
            <w:tcW w:w="1261" w:type="dxa"/>
            <w:noWrap/>
            <w:hideMark/>
          </w:tcPr>
          <w:p w:rsidR="009D73D7" w:rsidRPr="00FC7FA7" w:rsidP="00A32B7E" w14:paraId="113026A6"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ResNet-50</w:t>
            </w:r>
          </w:p>
        </w:tc>
        <w:tc>
          <w:tcPr>
            <w:tcW w:w="1055" w:type="dxa"/>
            <w:noWrap/>
            <w:hideMark/>
          </w:tcPr>
          <w:p w:rsidR="009D73D7" w:rsidRPr="00FC7FA7" w:rsidP="00A32B7E" w14:paraId="7F475676"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81.90%</w:t>
            </w:r>
          </w:p>
        </w:tc>
        <w:tc>
          <w:tcPr>
            <w:tcW w:w="1055" w:type="dxa"/>
            <w:noWrap/>
            <w:hideMark/>
          </w:tcPr>
          <w:p w:rsidR="009D73D7" w:rsidRPr="00FC7FA7" w:rsidP="00A32B7E" w14:paraId="6ECCFADB"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83.90%</w:t>
            </w:r>
          </w:p>
        </w:tc>
        <w:tc>
          <w:tcPr>
            <w:tcW w:w="1055" w:type="dxa"/>
            <w:noWrap/>
            <w:hideMark/>
          </w:tcPr>
          <w:p w:rsidR="009D73D7" w:rsidRPr="00FC7FA7" w:rsidP="00A32B7E" w14:paraId="48C0857D"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87.90%</w:t>
            </w:r>
          </w:p>
        </w:tc>
      </w:tr>
      <w:tr w14:paraId="4FA77ACB" w14:textId="77777777" w:rsidTr="006478FC">
        <w:tblPrEx>
          <w:tblW w:w="4426" w:type="dxa"/>
          <w:tblLook w:val="04A0"/>
        </w:tblPrEx>
        <w:trPr>
          <w:trHeight w:val="362"/>
        </w:trPr>
        <w:tc>
          <w:tcPr>
            <w:tcW w:w="1261" w:type="dxa"/>
            <w:noWrap/>
            <w:hideMark/>
          </w:tcPr>
          <w:p w:rsidR="009D73D7" w:rsidRPr="00FC7FA7" w:rsidP="00A32B7E" w14:paraId="245CDC06"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VGG-16</w:t>
            </w:r>
          </w:p>
        </w:tc>
        <w:tc>
          <w:tcPr>
            <w:tcW w:w="1055" w:type="dxa"/>
            <w:noWrap/>
            <w:hideMark/>
          </w:tcPr>
          <w:p w:rsidR="009D73D7" w:rsidRPr="00FC7FA7" w:rsidP="00A32B7E" w14:paraId="19719E62"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82.50%</w:t>
            </w:r>
          </w:p>
        </w:tc>
        <w:tc>
          <w:tcPr>
            <w:tcW w:w="1055" w:type="dxa"/>
            <w:noWrap/>
            <w:hideMark/>
          </w:tcPr>
          <w:p w:rsidR="009D73D7" w:rsidRPr="00FC7FA7" w:rsidP="00A32B7E" w14:paraId="36D5E507"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83.90%</w:t>
            </w:r>
          </w:p>
        </w:tc>
        <w:tc>
          <w:tcPr>
            <w:tcW w:w="1055" w:type="dxa"/>
            <w:noWrap/>
            <w:hideMark/>
          </w:tcPr>
          <w:p w:rsidR="009D73D7" w:rsidRPr="00FC7FA7" w:rsidP="00A32B7E" w14:paraId="46C005B3"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89.40%</w:t>
            </w:r>
          </w:p>
        </w:tc>
      </w:tr>
      <w:tr w14:paraId="6E5DCC5D" w14:textId="77777777" w:rsidTr="006478FC">
        <w:tblPrEx>
          <w:tblW w:w="4426" w:type="dxa"/>
          <w:tblLook w:val="04A0"/>
        </w:tblPrEx>
        <w:trPr>
          <w:trHeight w:val="362"/>
        </w:trPr>
        <w:tc>
          <w:tcPr>
            <w:tcW w:w="1261" w:type="dxa"/>
            <w:noWrap/>
            <w:hideMark/>
          </w:tcPr>
          <w:p w:rsidR="009D73D7" w:rsidRPr="00FC7FA7" w:rsidP="00A32B7E" w14:paraId="671EA49F"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AlexNet</w:t>
            </w:r>
          </w:p>
        </w:tc>
        <w:tc>
          <w:tcPr>
            <w:tcW w:w="1055" w:type="dxa"/>
            <w:noWrap/>
            <w:hideMark/>
          </w:tcPr>
          <w:p w:rsidR="009D73D7" w:rsidRPr="00FC7FA7" w:rsidP="00A32B7E" w14:paraId="1D9E50AA"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82.90%</w:t>
            </w:r>
          </w:p>
        </w:tc>
        <w:tc>
          <w:tcPr>
            <w:tcW w:w="1055" w:type="dxa"/>
            <w:noWrap/>
            <w:hideMark/>
          </w:tcPr>
          <w:p w:rsidR="009D73D7" w:rsidRPr="00FC7FA7" w:rsidP="00A32B7E" w14:paraId="5D89489F"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80.50%</w:t>
            </w:r>
          </w:p>
        </w:tc>
        <w:tc>
          <w:tcPr>
            <w:tcW w:w="1055" w:type="dxa"/>
            <w:noWrap/>
            <w:hideMark/>
          </w:tcPr>
          <w:p w:rsidR="009D73D7" w:rsidRPr="00FC7FA7" w:rsidP="00A32B7E" w14:paraId="76B3E4CF"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87.90%</w:t>
            </w:r>
          </w:p>
        </w:tc>
      </w:tr>
      <w:tr w14:paraId="35538B36" w14:textId="77777777" w:rsidTr="006478FC">
        <w:tblPrEx>
          <w:tblW w:w="4426" w:type="dxa"/>
          <w:tblLook w:val="04A0"/>
        </w:tblPrEx>
        <w:trPr>
          <w:trHeight w:val="362"/>
        </w:trPr>
        <w:tc>
          <w:tcPr>
            <w:tcW w:w="1261" w:type="dxa"/>
            <w:noWrap/>
            <w:hideMark/>
          </w:tcPr>
          <w:p w:rsidR="009D73D7" w:rsidRPr="00FC7FA7" w:rsidP="00A32B7E" w14:paraId="1F75ECAB"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Inception-V3</w:t>
            </w:r>
          </w:p>
        </w:tc>
        <w:tc>
          <w:tcPr>
            <w:tcW w:w="1055" w:type="dxa"/>
            <w:noWrap/>
            <w:hideMark/>
          </w:tcPr>
          <w:p w:rsidR="009D73D7" w:rsidRPr="00FC7FA7" w:rsidP="00A32B7E" w14:paraId="0A0530B8"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85.40%</w:t>
            </w:r>
          </w:p>
        </w:tc>
        <w:tc>
          <w:tcPr>
            <w:tcW w:w="1055" w:type="dxa"/>
            <w:noWrap/>
            <w:hideMark/>
          </w:tcPr>
          <w:p w:rsidR="009D73D7" w:rsidRPr="00FC7FA7" w:rsidP="00A32B7E" w14:paraId="042AB919"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86.70%</w:t>
            </w:r>
          </w:p>
        </w:tc>
        <w:tc>
          <w:tcPr>
            <w:tcW w:w="1055" w:type="dxa"/>
            <w:noWrap/>
            <w:hideMark/>
          </w:tcPr>
          <w:p w:rsidR="009D73D7" w:rsidRPr="00FC7FA7" w:rsidP="00A32B7E" w14:paraId="760B94AC"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89.10%</w:t>
            </w:r>
          </w:p>
        </w:tc>
      </w:tr>
      <w:tr w14:paraId="113A1D07" w14:textId="77777777" w:rsidTr="006478FC">
        <w:tblPrEx>
          <w:tblW w:w="4426" w:type="dxa"/>
          <w:tblLook w:val="04A0"/>
        </w:tblPrEx>
        <w:trPr>
          <w:trHeight w:val="362"/>
        </w:trPr>
        <w:tc>
          <w:tcPr>
            <w:tcW w:w="1261" w:type="dxa"/>
            <w:noWrap/>
            <w:hideMark/>
          </w:tcPr>
          <w:p w:rsidR="009D73D7" w:rsidRPr="00FC7FA7" w:rsidP="00A32B7E" w14:paraId="611072DA"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Xception</w:t>
            </w:r>
          </w:p>
        </w:tc>
        <w:tc>
          <w:tcPr>
            <w:tcW w:w="1055" w:type="dxa"/>
            <w:noWrap/>
            <w:hideMark/>
          </w:tcPr>
          <w:p w:rsidR="009D73D7" w:rsidRPr="00FC7FA7" w:rsidP="00A32B7E" w14:paraId="4F130609"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82.90%</w:t>
            </w:r>
          </w:p>
        </w:tc>
        <w:tc>
          <w:tcPr>
            <w:tcW w:w="1055" w:type="dxa"/>
            <w:noWrap/>
            <w:hideMark/>
          </w:tcPr>
          <w:p w:rsidR="009D73D7" w:rsidRPr="00FC7FA7" w:rsidP="00A32B7E" w14:paraId="27DB763D"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81.50%</w:t>
            </w:r>
          </w:p>
        </w:tc>
        <w:tc>
          <w:tcPr>
            <w:tcW w:w="1055" w:type="dxa"/>
            <w:noWrap/>
            <w:hideMark/>
          </w:tcPr>
          <w:p w:rsidR="009D73D7" w:rsidRPr="00FC7FA7" w:rsidP="00A32B7E" w14:paraId="2953DC60"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84.90%</w:t>
            </w:r>
          </w:p>
        </w:tc>
      </w:tr>
      <w:tr w14:paraId="7971AEE8" w14:textId="77777777" w:rsidTr="006478FC">
        <w:tblPrEx>
          <w:tblW w:w="4426" w:type="dxa"/>
          <w:tblLook w:val="04A0"/>
        </w:tblPrEx>
        <w:trPr>
          <w:trHeight w:val="362"/>
        </w:trPr>
        <w:tc>
          <w:tcPr>
            <w:tcW w:w="1261" w:type="dxa"/>
            <w:noWrap/>
            <w:hideMark/>
          </w:tcPr>
          <w:p w:rsidR="009D73D7" w:rsidRPr="00FC7FA7" w:rsidP="00A32B7E" w14:paraId="7D785A53"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Proposed Inception-ResNet50</w:t>
            </w:r>
          </w:p>
        </w:tc>
        <w:tc>
          <w:tcPr>
            <w:tcW w:w="1055" w:type="dxa"/>
            <w:noWrap/>
            <w:hideMark/>
          </w:tcPr>
          <w:p w:rsidR="009D73D7" w:rsidRPr="00FC7FA7" w:rsidP="00A32B7E" w14:paraId="0D2E189E"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95.50%</w:t>
            </w:r>
          </w:p>
        </w:tc>
        <w:tc>
          <w:tcPr>
            <w:tcW w:w="1055" w:type="dxa"/>
            <w:noWrap/>
            <w:hideMark/>
          </w:tcPr>
          <w:p w:rsidR="009D73D7" w:rsidRPr="00FC7FA7" w:rsidP="00A32B7E" w14:paraId="3C731F9E"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94.60%</w:t>
            </w:r>
          </w:p>
        </w:tc>
        <w:tc>
          <w:tcPr>
            <w:tcW w:w="1055" w:type="dxa"/>
            <w:noWrap/>
            <w:hideMark/>
          </w:tcPr>
          <w:p w:rsidR="009D73D7" w:rsidRPr="00FC7FA7" w:rsidP="00A32B7E" w14:paraId="2790CF69"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95.70%</w:t>
            </w:r>
          </w:p>
        </w:tc>
      </w:tr>
    </w:tbl>
    <w:p w:rsidR="009D73D7" w:rsidRPr="00FC7FA7" w:rsidP="00A32B7E" w14:paraId="3B6B0E00" w14:textId="508429BB">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    The ROC curve analysis confirmed the model's discriminative solid power, with AUC values exceeding 0.98 for all classification tasks.</w:t>
      </w:r>
    </w:p>
    <w:p w:rsidR="009D73D7" w:rsidRPr="00FC7FA7" w:rsidP="00A32B7E" w14:paraId="4808EBD4" w14:textId="12B87359">
      <w:pPr>
        <w:spacing w:before="100" w:beforeAutospacing="1" w:after="100" w:afterAutospacing="1" w:line="240" w:lineRule="auto"/>
        <w:jc w:val="both"/>
        <w:rPr>
          <w:rFonts w:eastAsia="Times New Roman" w:asciiTheme="minorBidi" w:hAnsiTheme="minorBidi"/>
          <w:color w:val="FF0000"/>
          <w:kern w:val="0"/>
          <w:sz w:val="20"/>
          <w:szCs w:val="20"/>
          <w14:ligatures w14:val="none"/>
        </w:rPr>
      </w:pPr>
      <w:r w:rsidRPr="00FC7FA7">
        <w:rPr>
          <w:rFonts w:eastAsia="Times New Roman" w:asciiTheme="minorBidi" w:hAnsiTheme="minorBidi"/>
          <w:color w:val="FF0000"/>
          <w:kern w:val="0"/>
          <w:sz w:val="20"/>
          <w:szCs w:val="20"/>
          <w14:ligatures w14:val="none"/>
        </w:rPr>
        <w:t>Table 2: Evaluation Metrics of the Proposed Inception-ResNet50 Model for AD Classification</w:t>
      </w:r>
    </w:p>
    <w:tbl>
      <w:tblPr>
        <w:tblStyle w:val="TableGrid"/>
        <w:tblW w:w="4585" w:type="dxa"/>
        <w:tblLook w:val="04A0"/>
      </w:tblPr>
      <w:tblGrid>
        <w:gridCol w:w="2065"/>
        <w:gridCol w:w="1170"/>
        <w:gridCol w:w="1350"/>
      </w:tblGrid>
      <w:tr w14:paraId="26DD3A70" w14:textId="77777777" w:rsidTr="006478FC">
        <w:tblPrEx>
          <w:tblW w:w="4585" w:type="dxa"/>
          <w:tblLook w:val="04A0"/>
        </w:tblPrEx>
        <w:trPr>
          <w:trHeight w:val="363"/>
        </w:trPr>
        <w:tc>
          <w:tcPr>
            <w:tcW w:w="2065" w:type="dxa"/>
            <w:noWrap/>
            <w:hideMark/>
          </w:tcPr>
          <w:p w:rsidR="006478FC" w:rsidRPr="00FC7FA7" w:rsidP="00A32B7E" w14:paraId="453EC833"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Classification Task</w:t>
            </w:r>
          </w:p>
        </w:tc>
        <w:tc>
          <w:tcPr>
            <w:tcW w:w="1170" w:type="dxa"/>
            <w:noWrap/>
            <w:hideMark/>
          </w:tcPr>
          <w:p w:rsidR="006478FC" w:rsidRPr="00FC7FA7" w:rsidP="00A32B7E" w14:paraId="149322B3"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Accuracy</w:t>
            </w:r>
          </w:p>
        </w:tc>
        <w:tc>
          <w:tcPr>
            <w:tcW w:w="1350" w:type="dxa"/>
            <w:noWrap/>
            <w:hideMark/>
          </w:tcPr>
          <w:p w:rsidR="006478FC" w:rsidRPr="00FC7FA7" w:rsidP="00A32B7E" w14:paraId="18E51181"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AUC</w:t>
            </w:r>
          </w:p>
        </w:tc>
      </w:tr>
      <w:tr w14:paraId="6E79F83E" w14:textId="77777777" w:rsidTr="006478FC">
        <w:tblPrEx>
          <w:tblW w:w="4585" w:type="dxa"/>
          <w:tblLook w:val="04A0"/>
        </w:tblPrEx>
        <w:trPr>
          <w:trHeight w:val="363"/>
        </w:trPr>
        <w:tc>
          <w:tcPr>
            <w:tcW w:w="2065" w:type="dxa"/>
            <w:noWrap/>
            <w:hideMark/>
          </w:tcPr>
          <w:p w:rsidR="006478FC" w:rsidRPr="00FC7FA7" w:rsidP="00A32B7E" w14:paraId="1017937D"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HC vs. MCI</w:t>
            </w:r>
          </w:p>
        </w:tc>
        <w:tc>
          <w:tcPr>
            <w:tcW w:w="1170" w:type="dxa"/>
            <w:noWrap/>
            <w:hideMark/>
          </w:tcPr>
          <w:p w:rsidR="006478FC" w:rsidRPr="00FC7FA7" w:rsidP="00A32B7E" w14:paraId="7381C9BF"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95.50%</w:t>
            </w:r>
          </w:p>
        </w:tc>
        <w:tc>
          <w:tcPr>
            <w:tcW w:w="1350" w:type="dxa"/>
            <w:noWrap/>
            <w:hideMark/>
          </w:tcPr>
          <w:p w:rsidR="006478FC" w:rsidRPr="00FC7FA7" w:rsidP="00A32B7E" w14:paraId="5E9E002F"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0.98+</w:t>
            </w:r>
          </w:p>
        </w:tc>
      </w:tr>
      <w:tr w14:paraId="70342AF2" w14:textId="77777777" w:rsidTr="006478FC">
        <w:tblPrEx>
          <w:tblW w:w="4585" w:type="dxa"/>
          <w:tblLook w:val="04A0"/>
        </w:tblPrEx>
        <w:trPr>
          <w:trHeight w:val="363"/>
        </w:trPr>
        <w:tc>
          <w:tcPr>
            <w:tcW w:w="2065" w:type="dxa"/>
            <w:noWrap/>
            <w:hideMark/>
          </w:tcPr>
          <w:p w:rsidR="006478FC" w:rsidRPr="00FC7FA7" w:rsidP="00A32B7E" w14:paraId="58355550"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MCI vs. AD</w:t>
            </w:r>
          </w:p>
        </w:tc>
        <w:tc>
          <w:tcPr>
            <w:tcW w:w="1170" w:type="dxa"/>
            <w:noWrap/>
            <w:hideMark/>
          </w:tcPr>
          <w:p w:rsidR="006478FC" w:rsidRPr="00FC7FA7" w:rsidP="00A32B7E" w14:paraId="1116C265"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94.60%</w:t>
            </w:r>
          </w:p>
        </w:tc>
        <w:tc>
          <w:tcPr>
            <w:tcW w:w="1350" w:type="dxa"/>
            <w:noWrap/>
            <w:hideMark/>
          </w:tcPr>
          <w:p w:rsidR="006478FC" w:rsidRPr="00FC7FA7" w:rsidP="00A32B7E" w14:paraId="206C2780"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0.98+</w:t>
            </w:r>
          </w:p>
        </w:tc>
      </w:tr>
      <w:tr w14:paraId="3F03592E" w14:textId="77777777" w:rsidTr="006478FC">
        <w:tblPrEx>
          <w:tblW w:w="4585" w:type="dxa"/>
          <w:tblLook w:val="04A0"/>
        </w:tblPrEx>
        <w:trPr>
          <w:trHeight w:val="363"/>
        </w:trPr>
        <w:tc>
          <w:tcPr>
            <w:tcW w:w="2065" w:type="dxa"/>
            <w:noWrap/>
            <w:hideMark/>
          </w:tcPr>
          <w:p w:rsidR="006478FC" w:rsidRPr="00FC7FA7" w:rsidP="00A32B7E" w14:paraId="1C6070C4"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HC vs. AD</w:t>
            </w:r>
          </w:p>
        </w:tc>
        <w:tc>
          <w:tcPr>
            <w:tcW w:w="1170" w:type="dxa"/>
            <w:noWrap/>
            <w:hideMark/>
          </w:tcPr>
          <w:p w:rsidR="006478FC" w:rsidRPr="00FC7FA7" w:rsidP="00A32B7E" w14:paraId="3AD2C394"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95.70%</w:t>
            </w:r>
          </w:p>
        </w:tc>
        <w:tc>
          <w:tcPr>
            <w:tcW w:w="1350" w:type="dxa"/>
            <w:noWrap/>
            <w:hideMark/>
          </w:tcPr>
          <w:p w:rsidR="006478FC" w:rsidRPr="00FC7FA7" w:rsidP="00A32B7E" w14:paraId="6960BB6E" w14:textId="77777777">
            <w:pPr>
              <w:jc w:val="both"/>
              <w:rPr>
                <w:rFonts w:eastAsia="Times New Roman" w:asciiTheme="minorBidi" w:hAnsiTheme="minorBidi"/>
                <w:color w:val="FF0000"/>
                <w:kern w:val="0"/>
                <w:sz w:val="18"/>
                <w:szCs w:val="18"/>
                <w14:ligatures w14:val="none"/>
              </w:rPr>
            </w:pPr>
            <w:r w:rsidRPr="00FC7FA7">
              <w:rPr>
                <w:rFonts w:eastAsia="Times New Roman" w:asciiTheme="minorBidi" w:hAnsiTheme="minorBidi"/>
                <w:color w:val="FF0000"/>
                <w:kern w:val="0"/>
                <w:sz w:val="18"/>
                <w:szCs w:val="18"/>
                <w14:ligatures w14:val="none"/>
              </w:rPr>
              <w:t>0.98+</w:t>
            </w:r>
          </w:p>
        </w:tc>
      </w:tr>
    </w:tbl>
    <w:p w:rsidR="009D73D7" w:rsidRPr="00FC7FA7" w:rsidP="00A32B7E" w14:paraId="773E761F" w14:textId="7941CB83">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Fonts w:eastAsia="Times New Roman" w:asciiTheme="minorBidi" w:hAnsiTheme="minorBidi"/>
          <w:b/>
          <w:bCs/>
          <w:color w:val="FF0000"/>
          <w:kern w:val="0"/>
          <w:sz w:val="22"/>
          <w:szCs w:val="22"/>
          <w14:ligatures w14:val="none"/>
        </w:rPr>
        <w:t>Impact of Techniques:</w:t>
      </w:r>
    </w:p>
    <w:p w:rsidR="009D73D7" w:rsidRPr="00FC7FA7" w:rsidP="006478FC" w14:paraId="027BA57D" w14:textId="0F1ABC47">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The inclusion of spatial normalization improved feature extraction by the CNN, potentially contributing to the enhanced </w:t>
      </w:r>
      <w:r w:rsidRPr="00FC7FA7">
        <w:rPr>
          <w:rFonts w:eastAsia="Times New Roman" w:asciiTheme="minorBidi" w:hAnsiTheme="minorBidi"/>
          <w:color w:val="FF0000"/>
          <w:kern w:val="0"/>
          <w:sz w:val="22"/>
          <w:szCs w:val="22"/>
          <w14:ligatures w14:val="none"/>
        </w:rPr>
        <w:t>performance[</w:t>
      </w:r>
      <w:r w:rsidRPr="00FC7FA7">
        <w:rPr>
          <w:rFonts w:eastAsia="Times New Roman" w:asciiTheme="minorBidi" w:hAnsiTheme="minorBidi"/>
          <w:color w:val="FF0000"/>
          <w:kern w:val="0"/>
          <w:sz w:val="22"/>
          <w:szCs w:val="22"/>
          <w14:ligatures w14:val="none"/>
        </w:rPr>
        <w:t xml:space="preserve">18]. The explainable fusion layer and attention mechanisms likely aided in selecting crucial features from each modality and understanding their interaction for classification. The attention-based weighting within the ensemble classifier might have leveraged the strengths of individual models while mitigating weaknesses, leading to more robust and generalizable </w:t>
      </w:r>
      <w:r w:rsidRPr="00FC7FA7">
        <w:rPr>
          <w:rFonts w:eastAsia="Times New Roman" w:asciiTheme="minorBidi" w:hAnsiTheme="minorBidi"/>
          <w:color w:val="FF0000"/>
          <w:kern w:val="0"/>
          <w:sz w:val="22"/>
          <w:szCs w:val="22"/>
          <w14:ligatures w14:val="none"/>
        </w:rPr>
        <w:t>performance.</w:t>
      </w:r>
      <w:r w:rsidRPr="00FC7FA7">
        <w:rPr>
          <w:rStyle w:val="Heading1Char"/>
          <w:rFonts w:asciiTheme="minorBidi" w:hAnsiTheme="minorBidi" w:cstheme="minorBidi"/>
          <w:b/>
          <w:bCs/>
          <w:color w:val="FF0000"/>
          <w:sz w:val="24"/>
          <w:szCs w:val="24"/>
        </w:rPr>
        <w:t xml:space="preserve"> </w:t>
      </w:r>
    </w:p>
    <w:p w:rsidR="009D73D7" w:rsidRPr="00FC7FA7" w:rsidP="006478FC" w14:textId="0F1ABC47">
      <w:pPr>
        <w:spacing w:before="100" w:beforeAutospacing="1" w:after="100" w:afterAutospacing="1" w:line="240" w:lineRule="auto"/>
        <w:jc w:val="both"/>
        <w:rPr>
          <w:rFonts w:eastAsia="Times New Roman" w:asciiTheme="minorBidi" w:hAnsiTheme="minorBidi"/>
          <w:b/>
          <w:bCs/>
          <w:color w:val="FF0000"/>
          <w:kern w:val="0"/>
          <w:sz w:val="22"/>
          <w:szCs w:val="22"/>
          <w14:ligatures w14:val="none"/>
        </w:rPr>
      </w:pPr>
      <w:r w:rsidRPr="00FC7FA7">
        <w:rPr>
          <w:rStyle w:val="Heading1Char"/>
          <w:rFonts w:asciiTheme="minorBidi" w:hAnsiTheme="minorBidi" w:cstheme="minorBidi"/>
          <w:b/>
          <w:bCs/>
          <w:color w:val="FF0000"/>
          <w:sz w:val="24"/>
          <w:szCs w:val="24"/>
        </w:rPr>
        <w:t>Discussion</w:t>
      </w:r>
      <w:r w:rsidRPr="00FC7FA7">
        <w:rPr>
          <w:rFonts w:eastAsia="Times New Roman" w:asciiTheme="minorBidi" w:hAnsiTheme="minorBidi"/>
          <w:b/>
          <w:bCs/>
          <w:color w:val="FF0000"/>
          <w:kern w:val="0"/>
          <w:sz w:val="22"/>
          <w:szCs w:val="22"/>
          <w14:ligatures w14:val="none"/>
        </w:rPr>
        <w:t>:</w:t>
      </w:r>
    </w:p>
    <w:p w:rsidR="009D73D7" w:rsidRPr="00FC7FA7" w:rsidP="00A32B7E" w14:paraId="354B404E" w14:textId="7BAACDFC">
      <w:pPr>
        <w:spacing w:before="100" w:beforeAutospacing="1" w:after="100" w:afterAutospacing="1" w:line="240" w:lineRule="auto"/>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 xml:space="preserve">The results demonstrate the effectiveness of our proposed multimodal deep learning approach with explainability features for AD </w:t>
      </w:r>
      <w:r w:rsidRPr="00FC7FA7">
        <w:rPr>
          <w:rFonts w:eastAsia="Times New Roman" w:asciiTheme="minorBidi" w:hAnsiTheme="minorBidi"/>
          <w:color w:val="FF0000"/>
          <w:kern w:val="0"/>
          <w:sz w:val="22"/>
          <w:szCs w:val="22"/>
          <w14:ligatures w14:val="none"/>
        </w:rPr>
        <w:t>classification</w:t>
      </w:r>
      <w:r w:rsidRPr="00FC7FA7" w:rsidR="00724672">
        <w:rPr>
          <w:rFonts w:eastAsia="Times New Roman" w:asciiTheme="minorBidi" w:hAnsiTheme="minorBidi"/>
          <w:color w:val="FF0000"/>
          <w:kern w:val="0"/>
          <w:sz w:val="22"/>
          <w:szCs w:val="22"/>
          <w14:ligatures w14:val="none"/>
        </w:rPr>
        <w:t>[</w:t>
      </w:r>
      <w:r w:rsidRPr="00FC7FA7" w:rsidR="00724672">
        <w:rPr>
          <w:rFonts w:eastAsia="Times New Roman" w:asciiTheme="minorBidi" w:hAnsiTheme="minorBidi"/>
          <w:color w:val="FF0000"/>
          <w:kern w:val="0"/>
          <w:sz w:val="22"/>
          <w:szCs w:val="22"/>
          <w14:ligatures w14:val="none"/>
        </w:rPr>
        <w:t>19]</w:t>
      </w:r>
      <w:r w:rsidRPr="00FC7FA7">
        <w:rPr>
          <w:rFonts w:eastAsia="Times New Roman" w:asciiTheme="minorBidi" w:hAnsiTheme="minorBidi"/>
          <w:color w:val="FF0000"/>
          <w:kern w:val="0"/>
          <w:sz w:val="22"/>
          <w:szCs w:val="22"/>
          <w14:ligatures w14:val="none"/>
        </w:rPr>
        <w:t xml:space="preserve">. The Inception-ResNet50 wrapper model achieved superior accuracy and discriminative power compared to existing methods. Integrating spatial normalization, explainable fusion, attention mechanisms, and ensemble learning techniques likely contributed to this </w:t>
      </w:r>
      <w:r w:rsidRPr="00FC7FA7">
        <w:rPr>
          <w:rFonts w:eastAsia="Times New Roman" w:asciiTheme="minorBidi" w:hAnsiTheme="minorBidi"/>
          <w:color w:val="FF0000"/>
          <w:kern w:val="0"/>
          <w:sz w:val="22"/>
          <w:szCs w:val="22"/>
          <w14:ligatures w14:val="none"/>
        </w:rPr>
        <w:t>success</w:t>
      </w:r>
      <w:r w:rsidRPr="00FC7FA7" w:rsidR="00724672">
        <w:rPr>
          <w:rFonts w:eastAsia="Times New Roman" w:asciiTheme="minorBidi" w:hAnsiTheme="minorBidi"/>
          <w:color w:val="FF0000"/>
          <w:kern w:val="0"/>
          <w:sz w:val="22"/>
          <w:szCs w:val="22"/>
          <w14:ligatures w14:val="none"/>
        </w:rPr>
        <w:t>[</w:t>
      </w:r>
      <w:r w:rsidRPr="00FC7FA7" w:rsidR="00724672">
        <w:rPr>
          <w:rFonts w:eastAsia="Times New Roman" w:asciiTheme="minorBidi" w:hAnsiTheme="minorBidi"/>
          <w:color w:val="FF0000"/>
          <w:kern w:val="0"/>
          <w:sz w:val="22"/>
          <w:szCs w:val="22"/>
          <w14:ligatures w14:val="none"/>
        </w:rPr>
        <w:t>20]</w:t>
      </w:r>
      <w:r w:rsidRPr="00FC7FA7">
        <w:rPr>
          <w:rFonts w:eastAsia="Times New Roman" w:asciiTheme="minorBidi" w:hAnsiTheme="minorBidi"/>
          <w:color w:val="FF0000"/>
          <w:kern w:val="0"/>
          <w:sz w:val="22"/>
          <w:szCs w:val="22"/>
          <w14:ligatures w14:val="none"/>
        </w:rPr>
        <w:t>.</w:t>
      </w:r>
    </w:p>
    <w:p w:rsidR="00F66BF1" w:rsidRPr="00FC7FA7" w:rsidP="006478FC" w14:paraId="1C8FE0FC" w14:textId="10267C1A">
      <w:pPr>
        <w:pStyle w:val="Heading1"/>
        <w:rPr>
          <w:rFonts w:eastAsia="Times New Roman" w:asciiTheme="minorBidi" w:hAnsiTheme="minorBidi" w:cstheme="minorBidi"/>
          <w:b/>
          <w:bCs/>
          <w:color w:val="FF0000"/>
          <w:sz w:val="24"/>
          <w:szCs w:val="24"/>
        </w:rPr>
      </w:pPr>
      <w:r w:rsidRPr="00FC7FA7">
        <w:rPr>
          <w:rFonts w:eastAsia="Times New Roman" w:asciiTheme="minorBidi" w:hAnsiTheme="minorBidi" w:cstheme="minorBidi"/>
          <w:b/>
          <w:bCs/>
          <w:color w:val="FF0000"/>
          <w:sz w:val="24"/>
          <w:szCs w:val="24"/>
        </w:rPr>
        <w:t>Conclusion</w:t>
      </w:r>
    </w:p>
    <w:p w:rsidR="00A1734C" w:rsidRPr="00FC7FA7" w:rsidP="00A1734C" w14:paraId="73FC9255" w14:textId="77777777">
      <w:pPr>
        <w:jc w:val="both"/>
        <w:rPr>
          <w:rFonts w:eastAsia="Times New Roman" w:asciiTheme="minorBidi" w:hAnsiTheme="minorBidi"/>
          <w:color w:val="FF0000"/>
          <w:kern w:val="0"/>
          <w:sz w:val="22"/>
          <w:szCs w:val="22"/>
          <w14:ligatures w14:val="none"/>
        </w:rPr>
      </w:pPr>
      <w:r w:rsidRPr="00FC7FA7">
        <w:rPr>
          <w:rFonts w:eastAsia="Times New Roman" w:asciiTheme="minorBidi" w:hAnsiTheme="minorBidi"/>
          <w:color w:val="FF0000"/>
          <w:kern w:val="0"/>
          <w:sz w:val="22"/>
          <w:szCs w:val="22"/>
          <w14:ligatures w14:val="none"/>
        </w:rPr>
        <w:t>The presented work develops a novel deep learning multimodal analysis for Alzheimer's Disease (AD) diagnosis through MRI and PET images, focusing on multi-level fusion with explanation capabilities. The framework significantly enhances the accuracies of classification and interpretation by means of early feature-level fusion, high-level explainable fusion, and ensemble classification with attentional weights.</w:t>
      </w:r>
    </w:p>
    <w:p w:rsidR="00B352D9" w:rsidRPr="00FC7FA7" w:rsidP="00513CFB" w14:paraId="3E4AC0D5" w14:textId="0A7635DA">
      <w:pPr>
        <w:rPr>
          <w:rFonts w:asciiTheme="minorBidi" w:hAnsiTheme="minorBidi"/>
          <w:sz w:val="22"/>
          <w:szCs w:val="22"/>
        </w:rPr>
      </w:pPr>
      <w:r w:rsidRPr="00FC7FA7">
        <w:rPr>
          <w:rFonts w:asciiTheme="minorBidi" w:hAnsiTheme="minorBidi"/>
          <w:sz w:val="22"/>
          <w:szCs w:val="22"/>
        </w:rPr>
        <w:t xml:space="preserve">To clarify and conclude, this </w:t>
      </w:r>
      <w:r w:rsidRPr="00FC7FA7">
        <w:rPr>
          <w:rFonts w:asciiTheme="minorBidi" w:hAnsiTheme="minorBidi"/>
          <w:sz w:val="22"/>
          <w:szCs w:val="22"/>
        </w:rPr>
        <w:t>aricle</w:t>
      </w:r>
      <w:r w:rsidRPr="00FC7FA7">
        <w:rPr>
          <w:rFonts w:asciiTheme="minorBidi" w:hAnsiTheme="minorBidi"/>
          <w:sz w:val="22"/>
          <w:szCs w:val="22"/>
        </w:rPr>
        <w:t xml:space="preserve"> is contributed to the following criteria:</w:t>
      </w:r>
    </w:p>
    <w:p w:rsidR="00B352D9" w:rsidRPr="00FC7FA7" w:rsidP="00A32B7E" w14:paraId="54D48D76" w14:textId="77777777">
      <w:pPr>
        <w:numPr>
          <w:ilvl w:val="0"/>
          <w:numId w:val="9"/>
        </w:num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Early Feature Level Fusion</w:t>
      </w:r>
      <w:r w:rsidRPr="00FC7FA7">
        <w:rPr>
          <w:rFonts w:eastAsia="Times New Roman" w:asciiTheme="minorBidi" w:hAnsiTheme="minorBidi"/>
          <w:color w:val="215E99" w:themeColor="text2" w:themeTint="BF"/>
          <w:kern w:val="0"/>
          <w:sz w:val="22"/>
          <w:szCs w:val="22"/>
          <w14:ligatures w14:val="none"/>
        </w:rPr>
        <w:t>:</w:t>
      </w:r>
    </w:p>
    <w:p w:rsidR="00B352D9" w:rsidRPr="00FC7FA7" w:rsidP="006478FC" w14:paraId="7943B8C9"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Our model can capture early-stage interactions between structural and functional brain information by fusing low-level features extracted from MRI and PET using 3D CNNs. This enhances the model's ability to detect subtle changes associated with AD.</w:t>
      </w:r>
    </w:p>
    <w:p w:rsidR="00B352D9" w:rsidRPr="00FC7FA7" w:rsidP="00A32B7E" w14:paraId="3614FDD1" w14:textId="77777777">
      <w:pPr>
        <w:numPr>
          <w:ilvl w:val="0"/>
          <w:numId w:val="9"/>
        </w:num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Explainable High-Level Fusion</w:t>
      </w:r>
      <w:r w:rsidRPr="00FC7FA7">
        <w:rPr>
          <w:rFonts w:eastAsia="Times New Roman" w:asciiTheme="minorBidi" w:hAnsiTheme="minorBidi"/>
          <w:color w:val="215E99" w:themeColor="text2" w:themeTint="BF"/>
          <w:kern w:val="0"/>
          <w:sz w:val="22"/>
          <w:szCs w:val="22"/>
          <w14:ligatures w14:val="none"/>
        </w:rPr>
        <w:t>:</w:t>
      </w:r>
    </w:p>
    <w:p w:rsidR="00FC7FA7" w:rsidRPr="00FC7FA7" w:rsidP="00FC7FA7" w14:paraId="4A20C075"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We created an understandable combination that includes high-level characteristics of both kinds. With the help of attentive techniques, this portion underlines the essential properties employed for classifying items, elucidating exactly how decisions are made in this system.</w:t>
      </w:r>
    </w:p>
    <w:p w:rsidR="00B352D9" w:rsidRPr="00FC7FA7" w:rsidP="00FC7FA7" w14:paraId="3F8E03E1" w14:textId="713645CD">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Ensemble Classifier with Attention-Based Weighting</w:t>
      </w:r>
      <w:r w:rsidRPr="00FC7FA7">
        <w:rPr>
          <w:rFonts w:eastAsia="Times New Roman" w:asciiTheme="minorBidi" w:hAnsiTheme="minorBidi"/>
          <w:color w:val="215E99" w:themeColor="text2" w:themeTint="BF"/>
          <w:kern w:val="0"/>
          <w:sz w:val="22"/>
          <w:szCs w:val="22"/>
          <w14:ligatures w14:val="none"/>
        </w:rPr>
        <w:t>:</w:t>
      </w:r>
    </w:p>
    <w:p w:rsidR="00FC7FA7" w:rsidRPr="00FC7FA7" w:rsidP="00FC7FA7" w14:paraId="6330945D" w14:textId="77777777">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color w:val="215E99" w:themeColor="text2" w:themeTint="BF"/>
          <w:kern w:val="0"/>
          <w:sz w:val="22"/>
          <w:szCs w:val="22"/>
          <w14:ligatures w14:val="none"/>
        </w:rPr>
        <w:t>We utilized stacking and boosting techniques to assemble an ensemble classifier comprising multiple models. Such models' weighting on predictions depends on individual performances through attention mechanisms that harness their strengths but do diminish shortcomings.</w:t>
      </w:r>
    </w:p>
    <w:p w:rsidR="00B352D9" w:rsidRPr="00FC7FA7" w:rsidP="00FC7FA7" w14:paraId="5D206BE8" w14:textId="5B4E3ABF">
      <w:pPr>
        <w:spacing w:before="100" w:beforeAutospacing="1" w:after="100" w:afterAutospacing="1" w:line="240" w:lineRule="auto"/>
        <w:jc w:val="both"/>
        <w:rPr>
          <w:rFonts w:eastAsia="Times New Roman" w:asciiTheme="minorBidi" w:hAnsiTheme="minorBidi"/>
          <w:color w:val="215E99" w:themeColor="text2" w:themeTint="BF"/>
          <w:kern w:val="0"/>
          <w:sz w:val="22"/>
          <w:szCs w:val="22"/>
          <w14:ligatures w14:val="none"/>
        </w:rPr>
      </w:pPr>
      <w:r w:rsidRPr="00FC7FA7">
        <w:rPr>
          <w:rFonts w:eastAsia="Times New Roman" w:asciiTheme="minorBidi" w:hAnsiTheme="minorBidi"/>
          <w:b/>
          <w:bCs/>
          <w:color w:val="215E99" w:themeColor="text2" w:themeTint="BF"/>
          <w:kern w:val="0"/>
          <w:sz w:val="22"/>
          <w:szCs w:val="22"/>
          <w14:ligatures w14:val="none"/>
        </w:rPr>
        <w:t>Evaluation Metrics and Explainability</w:t>
      </w:r>
      <w:r w:rsidRPr="00FC7FA7">
        <w:rPr>
          <w:rFonts w:eastAsia="Times New Roman" w:asciiTheme="minorBidi" w:hAnsiTheme="minorBidi"/>
          <w:color w:val="215E99" w:themeColor="text2" w:themeTint="BF"/>
          <w:kern w:val="0"/>
          <w:sz w:val="22"/>
          <w:szCs w:val="22"/>
          <w14:ligatures w14:val="none"/>
        </w:rPr>
        <w:t>:</w:t>
      </w:r>
    </w:p>
    <w:p w:rsidR="00FC7FA7" w:rsidRPr="00FC7FA7" w:rsidP="00FC7FA7" w14:paraId="6A4BC791" w14:textId="77777777">
      <w:pPr>
        <w:jc w:val="both"/>
        <w:rPr>
          <w:rFonts w:asciiTheme="minorBidi" w:hAnsiTheme="minorBidi"/>
          <w:color w:val="156082" w:themeColor="accent1"/>
          <w:sz w:val="22"/>
          <w:szCs w:val="22"/>
        </w:rPr>
      </w:pPr>
      <w:r w:rsidRPr="00FC7FA7">
        <w:rPr>
          <w:rFonts w:asciiTheme="minorBidi" w:hAnsiTheme="minorBidi"/>
          <w:color w:val="156082" w:themeColor="accent1"/>
          <w:sz w:val="22"/>
          <w:szCs w:val="22"/>
        </w:rPr>
        <w:t xml:space="preserve">Standard classification metrics (such as accuracy, sensitivity, specificity, and AUC) were used to evaluate the overall performance. Explainable techniques such as Grad-CAM and LIME were utilized to </w:t>
      </w:r>
      <w:r w:rsidRPr="00FC7FA7">
        <w:rPr>
          <w:rFonts w:asciiTheme="minorBidi" w:hAnsiTheme="minorBidi"/>
          <w:color w:val="156082" w:themeColor="accent1"/>
          <w:sz w:val="22"/>
          <w:szCs w:val="22"/>
        </w:rPr>
        <w:t>visuali</w:t>
      </w:r>
      <w:r w:rsidRPr="00FC7FA7">
        <w:rPr>
          <w:rFonts w:asciiTheme="minorBidi" w:hAnsiTheme="minorBidi"/>
          <w:color w:val="156082" w:themeColor="accent1"/>
          <w:sz w:val="22"/>
          <w:szCs w:val="22"/>
        </w:rPr>
        <w:t>ze essential brain areas for better interpretation.</w:t>
      </w:r>
    </w:p>
    <w:p w:rsidR="00B352D9" w:rsidRPr="00FC7FA7" w:rsidP="006478FC" w14:paraId="2CA119FA" w14:textId="3E58A8AD">
      <w:pPr>
        <w:pStyle w:val="Heading1"/>
        <w:rPr>
          <w:rFonts w:eastAsia="Times New Roman" w:asciiTheme="minorBidi" w:hAnsiTheme="minorBidi" w:cstheme="minorBidi"/>
          <w:b/>
          <w:bCs/>
          <w:color w:val="215E99" w:themeColor="text2" w:themeTint="BF"/>
          <w:sz w:val="24"/>
          <w:szCs w:val="24"/>
        </w:rPr>
      </w:pPr>
      <w:r w:rsidRPr="00FC7FA7">
        <w:rPr>
          <w:rFonts w:eastAsia="Times New Roman" w:asciiTheme="minorBidi" w:hAnsiTheme="minorBidi" w:cstheme="minorBidi"/>
          <w:b/>
          <w:bCs/>
          <w:color w:val="215E99" w:themeColor="text2" w:themeTint="BF"/>
          <w:sz w:val="24"/>
          <w:szCs w:val="24"/>
        </w:rPr>
        <w:t>Discussion and Future Directions</w:t>
      </w:r>
    </w:p>
    <w:p w:rsidR="00FC7FA7" w:rsidRPr="00FC7FA7" w:rsidP="00FC7FA7" w14:paraId="0D85A1E2" w14:textId="77777777">
      <w:pPr>
        <w:jc w:val="both"/>
        <w:rPr>
          <w:rFonts w:asciiTheme="minorBidi" w:hAnsiTheme="minorBidi"/>
          <w:color w:val="156082" w:themeColor="accent1"/>
          <w:sz w:val="22"/>
          <w:szCs w:val="22"/>
        </w:rPr>
      </w:pPr>
      <w:r w:rsidRPr="00FC7FA7">
        <w:rPr>
          <w:rFonts w:asciiTheme="minorBidi" w:hAnsiTheme="minorBidi"/>
          <w:color w:val="156082" w:themeColor="accent1"/>
          <w:sz w:val="22"/>
          <w:szCs w:val="22"/>
        </w:rPr>
        <w:t xml:space="preserve">The results show that our proposed multimodal deep learning method was effective in AD classification. The Inception-ResNet50 wrapper model's better performance is mainly due to incorporating spatial </w:t>
      </w:r>
      <w:r w:rsidRPr="00FC7FA7">
        <w:rPr>
          <w:rFonts w:asciiTheme="minorBidi" w:hAnsiTheme="minorBidi"/>
          <w:color w:val="156082" w:themeColor="accent1"/>
          <w:sz w:val="22"/>
          <w:szCs w:val="22"/>
        </w:rPr>
        <w:t>normalization</w:t>
      </w:r>
      <w:r w:rsidRPr="00FC7FA7">
        <w:rPr>
          <w:rFonts w:asciiTheme="minorBidi" w:hAnsiTheme="minorBidi"/>
          <w:color w:val="156082" w:themeColor="accent1"/>
          <w:sz w:val="22"/>
          <w:szCs w:val="22"/>
        </w:rPr>
        <w:t xml:space="preserve">, explainable fusion, attention mechanisms, and ensemble techniques. Future works will aim to refine these techniques further, exploring more datasets for improved generalizability and carrying out more elaborate subgroup analyses to check on possible biases. Furthermore, we will also investigate its clinical applicability with respect to developing friendly user tools for medical practitioners. To summarize, this study lays out a robust, interpretable framework for AD diagnosis using multimodal imaging data, which can set a path to future advances in the discipline. </w:t>
      </w:r>
    </w:p>
    <w:p w:rsidR="0074417F" w:rsidRPr="00FC7FA7" w:rsidP="00327918" w14:paraId="40834347" w14:textId="09D6B90B">
      <w:pPr>
        <w:pStyle w:val="Heading1"/>
        <w:rPr>
          <w:rFonts w:eastAsia="Times New Roman" w:asciiTheme="minorBidi" w:hAnsiTheme="minorBidi" w:cstheme="minorBidi"/>
          <w:b/>
          <w:bCs/>
          <w:color w:val="000000" w:themeColor="text1"/>
          <w:sz w:val="24"/>
          <w:szCs w:val="24"/>
        </w:rPr>
      </w:pPr>
      <w:r w:rsidRPr="00FC7FA7">
        <w:rPr>
          <w:rFonts w:eastAsia="Times New Roman" w:asciiTheme="minorBidi" w:hAnsiTheme="minorBidi" w:cstheme="minorBidi"/>
          <w:b/>
          <w:bCs/>
          <w:color w:val="000000" w:themeColor="text1"/>
          <w:sz w:val="24"/>
          <w:szCs w:val="24"/>
        </w:rPr>
        <w:t>References:</w:t>
      </w:r>
    </w:p>
    <w:p w:rsidR="00100EE6" w:rsidRPr="00FC7FA7" w:rsidP="00C30567" w14:paraId="4A7FDF6C" w14:textId="77777777">
      <w:pPr>
        <w:pStyle w:val="ListParagraph"/>
        <w:numPr>
          <w:ilvl w:val="0"/>
          <w:numId w:val="12"/>
        </w:numPr>
        <w:spacing w:before="100" w:beforeAutospacing="1" w:after="100" w:afterAutospacing="1" w:line="240" w:lineRule="auto"/>
        <w:jc w:val="both"/>
        <w:rPr>
          <w:rFonts w:eastAsia="Times New Roman" w:asciiTheme="minorBidi" w:hAnsiTheme="minorBidi"/>
          <w:kern w:val="0"/>
          <w:sz w:val="22"/>
          <w:szCs w:val="22"/>
          <w14:ligatures w14:val="none"/>
        </w:rPr>
      </w:pPr>
      <w:r w:rsidRPr="00FC7FA7">
        <w:rPr>
          <w:rFonts w:eastAsia="Times New Roman" w:asciiTheme="minorBidi" w:hAnsiTheme="minorBidi"/>
          <w:kern w:val="0"/>
          <w:sz w:val="22"/>
          <w:szCs w:val="22"/>
          <w14:ligatures w14:val="none"/>
        </w:rPr>
        <w:t>Hussain, M., Cheng, H., Khan, A., Khan, M. A., Luo, Y., &amp; Xia, Y. (2023). An Explainable AI Paradigm for Alzheimer's Disease Diagnosis Using Deep Transfer Learning. [Nature Journal]</w:t>
      </w:r>
    </w:p>
    <w:p w:rsidR="00100EE6" w:rsidRPr="00FC7FA7" w:rsidP="00C30567" w14:paraId="0974182B" w14:textId="77777777">
      <w:pPr>
        <w:pStyle w:val="ListParagraph"/>
        <w:numPr>
          <w:ilvl w:val="0"/>
          <w:numId w:val="12"/>
        </w:numPr>
        <w:spacing w:before="100" w:beforeAutospacing="1" w:after="100" w:afterAutospacing="1" w:line="240" w:lineRule="auto"/>
        <w:jc w:val="both"/>
        <w:rPr>
          <w:rFonts w:eastAsia="Times New Roman" w:asciiTheme="minorBidi" w:hAnsiTheme="minorBidi"/>
          <w:kern w:val="0"/>
          <w:sz w:val="22"/>
          <w:szCs w:val="22"/>
          <w14:ligatures w14:val="none"/>
        </w:rPr>
      </w:pPr>
      <w:r w:rsidRPr="00FC7FA7">
        <w:rPr>
          <w:rFonts w:eastAsia="Times New Roman" w:asciiTheme="minorBidi" w:hAnsiTheme="minorBidi"/>
          <w:kern w:val="0"/>
          <w:sz w:val="22"/>
          <w:szCs w:val="22"/>
          <w14:ligatures w14:val="none"/>
        </w:rPr>
        <w:t xml:space="preserve">hang, Y., Sun, L., Wang, L., </w:t>
      </w:r>
      <w:r w:rsidRPr="00FC7FA7">
        <w:rPr>
          <w:rFonts w:eastAsia="Times New Roman" w:asciiTheme="minorBidi" w:hAnsiTheme="minorBidi"/>
          <w:kern w:val="0"/>
          <w:sz w:val="22"/>
          <w:szCs w:val="22"/>
          <w14:ligatures w14:val="none"/>
        </w:rPr>
        <w:t>Lv</w:t>
      </w:r>
      <w:r w:rsidRPr="00FC7FA7">
        <w:rPr>
          <w:rFonts w:eastAsia="Times New Roman" w:asciiTheme="minorBidi" w:hAnsiTheme="minorBidi"/>
          <w:kern w:val="0"/>
          <w:sz w:val="22"/>
          <w:szCs w:val="22"/>
          <w14:ligatures w14:val="none"/>
        </w:rPr>
        <w:t>, J., Li, W., Sun, J., &amp; Wu, X. (2023). Explainable Deep-Learning-Based Diagnosis of Alzheimer's Disease Using Multimodal Input Fusion of PET and MRI Images. [Springer Link]</w:t>
      </w:r>
    </w:p>
    <w:p w:rsidR="00100EE6" w:rsidRPr="00FC7FA7" w:rsidP="00C30567" w14:paraId="5011B465" w14:textId="77777777">
      <w:pPr>
        <w:pStyle w:val="ListParagraph"/>
        <w:numPr>
          <w:ilvl w:val="0"/>
          <w:numId w:val="12"/>
        </w:numPr>
        <w:spacing w:before="100" w:beforeAutospacing="1" w:after="100" w:afterAutospacing="1" w:line="240" w:lineRule="auto"/>
        <w:jc w:val="both"/>
        <w:rPr>
          <w:rFonts w:eastAsia="Times New Roman" w:asciiTheme="minorBidi" w:hAnsiTheme="minorBidi"/>
          <w:kern w:val="0"/>
          <w:sz w:val="22"/>
          <w:szCs w:val="22"/>
          <w14:ligatures w14:val="none"/>
        </w:rPr>
      </w:pPr>
      <w:r w:rsidRPr="00FC7FA7">
        <w:rPr>
          <w:rFonts w:eastAsia="Times New Roman" w:asciiTheme="minorBidi" w:hAnsiTheme="minorBidi"/>
          <w:kern w:val="0"/>
          <w:sz w:val="22"/>
          <w:szCs w:val="22"/>
          <w14:ligatures w14:val="none"/>
        </w:rPr>
        <w:t>Sun, L., Wang, Y., Sun, J., Wu, X., Zhang, Y., &amp; Wang, L. (2023). A cross-sectional study of explainable machine learning in Alzheimer's disease: diagnostic classification using MR radiomic features. Frontiers in Aging Neuroscience.</w:t>
      </w:r>
    </w:p>
    <w:p w:rsidR="00100EE6" w:rsidRPr="00FC7FA7" w:rsidP="00C30567" w14:paraId="582A8B51" w14:textId="77777777">
      <w:pPr>
        <w:pStyle w:val="ListParagraph"/>
        <w:numPr>
          <w:ilvl w:val="0"/>
          <w:numId w:val="12"/>
        </w:numPr>
        <w:spacing w:before="100" w:beforeAutospacing="1" w:after="100" w:afterAutospacing="1" w:line="240" w:lineRule="auto"/>
        <w:jc w:val="both"/>
        <w:rPr>
          <w:rFonts w:eastAsia="Times New Roman" w:asciiTheme="minorBidi" w:hAnsiTheme="minorBidi"/>
          <w:kern w:val="0"/>
          <w:sz w:val="22"/>
          <w:szCs w:val="22"/>
          <w14:ligatures w14:val="none"/>
        </w:rPr>
      </w:pPr>
      <w:r w:rsidRPr="00FC7FA7">
        <w:rPr>
          <w:rFonts w:eastAsia="Times New Roman" w:asciiTheme="minorBidi" w:hAnsiTheme="minorBidi"/>
          <w:kern w:val="0"/>
          <w:sz w:val="22"/>
          <w:szCs w:val="22"/>
          <w14:ligatures w14:val="none"/>
        </w:rPr>
        <w:t>Mamoshina</w:t>
      </w:r>
      <w:r w:rsidRPr="00FC7FA7">
        <w:rPr>
          <w:rFonts w:eastAsia="Times New Roman" w:asciiTheme="minorBidi" w:hAnsiTheme="minorBidi"/>
          <w:kern w:val="0"/>
          <w:sz w:val="22"/>
          <w:szCs w:val="22"/>
          <w14:ligatures w14:val="none"/>
        </w:rPr>
        <w:t xml:space="preserve">, A., Vieira, A., Putin, E., &amp; </w:t>
      </w:r>
      <w:r w:rsidRPr="00FC7FA7">
        <w:rPr>
          <w:rFonts w:eastAsia="Times New Roman" w:asciiTheme="minorBidi" w:hAnsiTheme="minorBidi"/>
          <w:kern w:val="0"/>
          <w:sz w:val="22"/>
          <w:szCs w:val="22"/>
          <w14:ligatures w14:val="none"/>
        </w:rPr>
        <w:t>Zhavoronkov</w:t>
      </w:r>
      <w:r w:rsidRPr="00FC7FA7">
        <w:rPr>
          <w:rFonts w:eastAsia="Times New Roman" w:asciiTheme="minorBidi" w:hAnsiTheme="minorBidi"/>
          <w:kern w:val="0"/>
          <w:sz w:val="22"/>
          <w:szCs w:val="22"/>
          <w14:ligatures w14:val="none"/>
        </w:rPr>
        <w:t>, A. (2023). Explainable Artificial Intelligence in Alzheimer's Disease Classification: A Systematic Review. Cognitive Computation.</w:t>
      </w:r>
    </w:p>
    <w:p w:rsidR="00100EE6" w:rsidRPr="00FC7FA7" w:rsidP="00C30567" w14:paraId="3D7E65E5" w14:textId="52426506">
      <w:pPr>
        <w:pStyle w:val="ListParagraph"/>
        <w:numPr>
          <w:ilvl w:val="0"/>
          <w:numId w:val="12"/>
        </w:numPr>
        <w:spacing w:before="100" w:beforeAutospacing="1" w:after="100" w:afterAutospacing="1" w:line="240" w:lineRule="auto"/>
        <w:jc w:val="both"/>
        <w:rPr>
          <w:rFonts w:eastAsia="Times New Roman" w:asciiTheme="minorBidi" w:hAnsiTheme="minorBidi"/>
          <w:kern w:val="0"/>
          <w:sz w:val="22"/>
          <w:szCs w:val="22"/>
          <w14:ligatures w14:val="none"/>
        </w:rPr>
      </w:pPr>
      <w:r w:rsidRPr="00FC7FA7">
        <w:rPr>
          <w:rFonts w:eastAsia="Times New Roman" w:asciiTheme="minorBidi" w:hAnsiTheme="minorBidi"/>
          <w:kern w:val="0"/>
          <w:sz w:val="22"/>
          <w:szCs w:val="22"/>
          <w14:ligatures w14:val="none"/>
        </w:rPr>
        <w:t>Luo, Y., Liu, Y., Cheng, J., &amp; Xia, Y. (2024). An explainable machine learning approach for Alzheimer's disease classification. [Nature Journal]</w:t>
      </w:r>
    </w:p>
    <w:p w:rsidR="00511D7E" w:rsidRPr="00FC7FA7" w:rsidP="00C30567" w14:paraId="0B179E31"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 xml:space="preserve">Passos, J., Sequeira, C., &amp; Fernandes, L. (2012). The needs of older people with mental health problems: A particular focus on dementia patients and their </w:t>
      </w:r>
      <w:r w:rsidRPr="00FC7FA7">
        <w:rPr>
          <w:rFonts w:asciiTheme="minorBidi" w:hAnsiTheme="minorBidi" w:cstheme="minorBidi"/>
          <w:color w:val="111111"/>
          <w:sz w:val="22"/>
          <w:szCs w:val="22"/>
        </w:rPr>
        <w:t>carers</w:t>
      </w:r>
      <w:r w:rsidRPr="00FC7FA7">
        <w:rPr>
          <w:rFonts w:asciiTheme="minorBidi" w:hAnsiTheme="minorBidi" w:cstheme="minorBidi"/>
          <w:color w:val="111111"/>
          <w:sz w:val="22"/>
          <w:szCs w:val="22"/>
        </w:rPr>
        <w:t>. </w:t>
      </w:r>
      <w:r w:rsidRPr="00FC7FA7">
        <w:rPr>
          <w:rStyle w:val="Emphasis"/>
          <w:rFonts w:asciiTheme="minorBidi" w:eastAsiaTheme="majorEastAsia" w:hAnsiTheme="minorBidi" w:cstheme="minorBidi"/>
          <w:color w:val="111111"/>
          <w:sz w:val="22"/>
          <w:szCs w:val="22"/>
        </w:rPr>
        <w:t>International Journal of Alzheimer’s Disease</w:t>
      </w:r>
      <w:r w:rsidRPr="00FC7FA7">
        <w:rPr>
          <w:rFonts w:asciiTheme="minorBidi" w:hAnsiTheme="minorBidi" w:cstheme="minorBidi"/>
          <w:color w:val="111111"/>
          <w:sz w:val="22"/>
          <w:szCs w:val="22"/>
        </w:rPr>
        <w:t>, 2012.</w:t>
      </w:r>
    </w:p>
    <w:p w:rsidR="00511D7E" w:rsidRPr="00FC7FA7" w:rsidP="00C30567" w14:paraId="241C7925"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Braak, H., &amp; Braak, E. (1991). Neuropathological staging of Alzheimer-related changes. </w:t>
      </w:r>
      <w:r w:rsidRPr="00FC7FA7">
        <w:rPr>
          <w:rStyle w:val="Emphasis"/>
          <w:rFonts w:asciiTheme="minorBidi" w:eastAsiaTheme="majorEastAsia" w:hAnsiTheme="minorBidi" w:cstheme="minorBidi"/>
          <w:color w:val="111111"/>
          <w:sz w:val="22"/>
          <w:szCs w:val="22"/>
        </w:rPr>
        <w:t xml:space="preserve">Acta </w:t>
      </w:r>
      <w:r w:rsidRPr="00FC7FA7">
        <w:rPr>
          <w:rStyle w:val="Emphasis"/>
          <w:rFonts w:asciiTheme="minorBidi" w:eastAsiaTheme="majorEastAsia" w:hAnsiTheme="minorBidi" w:cstheme="minorBidi"/>
          <w:color w:val="111111"/>
          <w:sz w:val="22"/>
          <w:szCs w:val="22"/>
        </w:rPr>
        <w:t>Neuropathologica</w:t>
      </w:r>
      <w:r w:rsidRPr="00FC7FA7">
        <w:rPr>
          <w:rFonts w:asciiTheme="minorBidi" w:hAnsiTheme="minorBidi" w:cstheme="minorBidi"/>
          <w:color w:val="111111"/>
          <w:sz w:val="22"/>
          <w:szCs w:val="22"/>
        </w:rPr>
        <w:t>, 82(4), 239–259.</w:t>
      </w:r>
    </w:p>
    <w:p w:rsidR="00511D7E" w:rsidRPr="00FC7FA7" w:rsidP="00C30567" w14:paraId="736054E2"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Kloppel</w:t>
      </w:r>
      <w:r w:rsidRPr="00FC7FA7">
        <w:rPr>
          <w:rFonts w:asciiTheme="minorBidi" w:hAnsiTheme="minorBidi" w:cstheme="minorBidi"/>
          <w:color w:val="111111"/>
          <w:sz w:val="22"/>
          <w:szCs w:val="22"/>
        </w:rPr>
        <w:t xml:space="preserve">, S., </w:t>
      </w:r>
      <w:r w:rsidRPr="00FC7FA7">
        <w:rPr>
          <w:rFonts w:asciiTheme="minorBidi" w:hAnsiTheme="minorBidi" w:cstheme="minorBidi"/>
          <w:color w:val="111111"/>
          <w:sz w:val="22"/>
          <w:szCs w:val="22"/>
        </w:rPr>
        <w:t>Stonnington</w:t>
      </w:r>
      <w:r w:rsidRPr="00FC7FA7">
        <w:rPr>
          <w:rFonts w:asciiTheme="minorBidi" w:hAnsiTheme="minorBidi" w:cstheme="minorBidi"/>
          <w:color w:val="111111"/>
          <w:sz w:val="22"/>
          <w:szCs w:val="22"/>
        </w:rPr>
        <w:t>, C. M., Barnes, J., Chen, F., Chu, C., Good, C. D., I. Mader, Mitchell, L. A., Patel, A. C., Roberts, C. C., et al. (2008). Accuracy of dementia diagnosis: A direct comparison between radiologists and a computerized method. </w:t>
      </w:r>
      <w:r w:rsidRPr="00FC7FA7">
        <w:rPr>
          <w:rStyle w:val="Emphasis"/>
          <w:rFonts w:asciiTheme="minorBidi" w:eastAsiaTheme="majorEastAsia" w:hAnsiTheme="minorBidi" w:cstheme="minorBidi"/>
          <w:color w:val="111111"/>
          <w:sz w:val="22"/>
          <w:szCs w:val="22"/>
        </w:rPr>
        <w:t>Brain</w:t>
      </w:r>
      <w:r w:rsidRPr="00FC7FA7">
        <w:rPr>
          <w:rFonts w:asciiTheme="minorBidi" w:hAnsiTheme="minorBidi" w:cstheme="minorBidi"/>
          <w:color w:val="111111"/>
          <w:sz w:val="22"/>
          <w:szCs w:val="22"/>
        </w:rPr>
        <w:t>, 131(11), 2969–2974.</w:t>
      </w:r>
    </w:p>
    <w:p w:rsidR="00511D7E" w:rsidRPr="00FC7FA7" w:rsidP="00C30567" w14:paraId="51A55724"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Frisoni</w:t>
      </w:r>
      <w:r w:rsidRPr="00FC7FA7">
        <w:rPr>
          <w:rFonts w:asciiTheme="minorBidi" w:hAnsiTheme="minorBidi" w:cstheme="minorBidi"/>
          <w:color w:val="111111"/>
          <w:sz w:val="22"/>
          <w:szCs w:val="22"/>
        </w:rPr>
        <w:t xml:space="preserve">, G. B., Fox, N. C., Jack Jr, C. R., </w:t>
      </w:r>
      <w:r w:rsidRPr="00FC7FA7">
        <w:rPr>
          <w:rFonts w:asciiTheme="minorBidi" w:hAnsiTheme="minorBidi" w:cstheme="minorBidi"/>
          <w:color w:val="111111"/>
          <w:sz w:val="22"/>
          <w:szCs w:val="22"/>
        </w:rPr>
        <w:t>Scheltens</w:t>
      </w:r>
      <w:r w:rsidRPr="00FC7FA7">
        <w:rPr>
          <w:rFonts w:asciiTheme="minorBidi" w:hAnsiTheme="minorBidi" w:cstheme="minorBidi"/>
          <w:color w:val="111111"/>
          <w:sz w:val="22"/>
          <w:szCs w:val="22"/>
        </w:rPr>
        <w:t xml:space="preserve">, P., &amp; Thompson, P. M. (2010). The clinical use of structural MRI in Alzheimer's disease. </w:t>
      </w:r>
      <w:r w:rsidRPr="00FC7FA7">
        <w:rPr>
          <w:rStyle w:val="Emphasis"/>
          <w:rFonts w:asciiTheme="minorBidi" w:eastAsiaTheme="majorEastAsia" w:hAnsiTheme="minorBidi" w:cstheme="minorBidi"/>
          <w:color w:val="111111"/>
          <w:sz w:val="22"/>
          <w:szCs w:val="22"/>
        </w:rPr>
        <w:t>Nature Reviews Neurology</w:t>
      </w:r>
      <w:r w:rsidRPr="00FC7FA7">
        <w:rPr>
          <w:rFonts w:asciiTheme="minorBidi" w:hAnsiTheme="minorBidi" w:cstheme="minorBidi"/>
          <w:color w:val="111111"/>
          <w:sz w:val="22"/>
          <w:szCs w:val="22"/>
        </w:rPr>
        <w:t>, 6(2), 67.</w:t>
      </w:r>
    </w:p>
    <w:p w:rsidR="00511D7E" w:rsidRPr="00FC7FA7" w:rsidP="00C30567" w14:paraId="4F0CCF6D"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Beejesh</w:t>
      </w:r>
      <w:r w:rsidRPr="00FC7FA7">
        <w:rPr>
          <w:rFonts w:asciiTheme="minorBidi" w:hAnsiTheme="minorBidi" w:cstheme="minorBidi"/>
          <w:color w:val="111111"/>
          <w:sz w:val="22"/>
          <w:szCs w:val="22"/>
        </w:rPr>
        <w:t>, A., Gopi, V. P., &amp; Hemanth, J. (2019). Brain MR kurtosis imaging study: Contrasting gray and white matter. </w:t>
      </w:r>
      <w:r w:rsidRPr="00FC7FA7">
        <w:rPr>
          <w:rStyle w:val="Emphasis"/>
          <w:rFonts w:asciiTheme="minorBidi" w:eastAsiaTheme="majorEastAsia" w:hAnsiTheme="minorBidi" w:cstheme="minorBidi"/>
          <w:color w:val="111111"/>
          <w:sz w:val="22"/>
          <w:szCs w:val="22"/>
        </w:rPr>
        <w:t>Cognitive Systems Research</w:t>
      </w:r>
      <w:r w:rsidRPr="00FC7FA7">
        <w:rPr>
          <w:rFonts w:asciiTheme="minorBidi" w:hAnsiTheme="minorBidi" w:cstheme="minorBidi"/>
          <w:color w:val="111111"/>
          <w:sz w:val="22"/>
          <w:szCs w:val="22"/>
        </w:rPr>
        <w:t>, 55, 135–145.</w:t>
      </w:r>
    </w:p>
    <w:p w:rsidR="00511D7E" w:rsidRPr="00FC7FA7" w:rsidP="00C30567" w14:paraId="397E7026"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Querbes</w:t>
      </w:r>
      <w:r w:rsidRPr="00FC7FA7">
        <w:rPr>
          <w:rFonts w:asciiTheme="minorBidi" w:hAnsiTheme="minorBidi" w:cstheme="minorBidi"/>
          <w:color w:val="111111"/>
          <w:sz w:val="22"/>
          <w:szCs w:val="22"/>
        </w:rPr>
        <w:t xml:space="preserve">, O., Aubry, F., Pariente, J., </w:t>
      </w:r>
      <w:r w:rsidRPr="00FC7FA7">
        <w:rPr>
          <w:rFonts w:asciiTheme="minorBidi" w:hAnsiTheme="minorBidi" w:cstheme="minorBidi"/>
          <w:color w:val="111111"/>
          <w:sz w:val="22"/>
          <w:szCs w:val="22"/>
        </w:rPr>
        <w:t>Lotterie</w:t>
      </w:r>
      <w:r w:rsidRPr="00FC7FA7">
        <w:rPr>
          <w:rFonts w:asciiTheme="minorBidi" w:hAnsiTheme="minorBidi" w:cstheme="minorBidi"/>
          <w:color w:val="111111"/>
          <w:sz w:val="22"/>
          <w:szCs w:val="22"/>
        </w:rPr>
        <w:t xml:space="preserve">, J.-A., </w:t>
      </w:r>
      <w:r w:rsidRPr="00FC7FA7">
        <w:rPr>
          <w:rFonts w:asciiTheme="minorBidi" w:hAnsiTheme="minorBidi" w:cstheme="minorBidi"/>
          <w:color w:val="111111"/>
          <w:sz w:val="22"/>
          <w:szCs w:val="22"/>
        </w:rPr>
        <w:t>Demonet</w:t>
      </w:r>
      <w:r w:rsidRPr="00FC7FA7">
        <w:rPr>
          <w:rFonts w:asciiTheme="minorBidi" w:hAnsiTheme="minorBidi" w:cstheme="minorBidi"/>
          <w:color w:val="111111"/>
          <w:sz w:val="22"/>
          <w:szCs w:val="22"/>
        </w:rPr>
        <w:t xml:space="preserve">, J.-F., Duret, V., Puel, M., Berry, I., Fort, J.-C., &amp; </w:t>
      </w:r>
      <w:r w:rsidRPr="00FC7FA7">
        <w:rPr>
          <w:rFonts w:asciiTheme="minorBidi" w:hAnsiTheme="minorBidi" w:cstheme="minorBidi"/>
          <w:color w:val="111111"/>
          <w:sz w:val="22"/>
          <w:szCs w:val="22"/>
        </w:rPr>
        <w:t>Celsis</w:t>
      </w:r>
      <w:r w:rsidRPr="00FC7FA7">
        <w:rPr>
          <w:rFonts w:asciiTheme="minorBidi" w:hAnsiTheme="minorBidi" w:cstheme="minorBidi"/>
          <w:color w:val="111111"/>
          <w:sz w:val="22"/>
          <w:szCs w:val="22"/>
        </w:rPr>
        <w:t>, P. (2009). Early diagnosis of Alzheimer’s disease using cortical thickness: Impact of cognitive reserve. </w:t>
      </w:r>
      <w:r w:rsidRPr="00FC7FA7">
        <w:rPr>
          <w:rStyle w:val="Emphasis"/>
          <w:rFonts w:asciiTheme="minorBidi" w:eastAsiaTheme="majorEastAsia" w:hAnsiTheme="minorBidi" w:cstheme="minorBidi"/>
          <w:color w:val="111111"/>
          <w:sz w:val="22"/>
          <w:szCs w:val="22"/>
        </w:rPr>
        <w:t>Brain</w:t>
      </w:r>
      <w:r w:rsidRPr="00FC7FA7">
        <w:rPr>
          <w:rFonts w:asciiTheme="minorBidi" w:hAnsiTheme="minorBidi" w:cstheme="minorBidi"/>
          <w:color w:val="111111"/>
          <w:sz w:val="22"/>
          <w:szCs w:val="22"/>
        </w:rPr>
        <w:t>, 132(8), 2036–2047.</w:t>
      </w:r>
    </w:p>
    <w:p w:rsidR="00511D7E" w:rsidRPr="00FC7FA7" w:rsidP="00C30567" w14:paraId="42A13CB1"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 xml:space="preserve">Dolph, C. V., Alam, M., </w:t>
      </w:r>
      <w:r w:rsidRPr="00FC7FA7">
        <w:rPr>
          <w:rFonts w:asciiTheme="minorBidi" w:hAnsiTheme="minorBidi" w:cstheme="minorBidi"/>
          <w:color w:val="111111"/>
          <w:sz w:val="22"/>
          <w:szCs w:val="22"/>
        </w:rPr>
        <w:t>Shboul</w:t>
      </w:r>
      <w:r w:rsidRPr="00FC7FA7">
        <w:rPr>
          <w:rFonts w:asciiTheme="minorBidi" w:hAnsiTheme="minorBidi" w:cstheme="minorBidi"/>
          <w:color w:val="111111"/>
          <w:sz w:val="22"/>
          <w:szCs w:val="22"/>
        </w:rPr>
        <w:t xml:space="preserve">, Z., Samad, M. D., &amp; </w:t>
      </w:r>
      <w:r w:rsidRPr="00FC7FA7">
        <w:rPr>
          <w:rFonts w:asciiTheme="minorBidi" w:hAnsiTheme="minorBidi" w:cstheme="minorBidi"/>
          <w:color w:val="111111"/>
          <w:sz w:val="22"/>
          <w:szCs w:val="22"/>
        </w:rPr>
        <w:t>Iftekharuddin</w:t>
      </w:r>
      <w:r w:rsidRPr="00FC7FA7">
        <w:rPr>
          <w:rFonts w:asciiTheme="minorBidi" w:hAnsiTheme="minorBidi" w:cstheme="minorBidi"/>
          <w:color w:val="111111"/>
          <w:sz w:val="22"/>
          <w:szCs w:val="22"/>
        </w:rPr>
        <w:t>, K. M. (2017). Deep learning of texture and structural features for multiclass Alzheimer’s disease classification. In </w:t>
      </w:r>
      <w:r w:rsidRPr="00FC7FA7">
        <w:rPr>
          <w:rStyle w:val="Emphasis"/>
          <w:rFonts w:asciiTheme="minorBidi" w:eastAsiaTheme="majorEastAsia" w:hAnsiTheme="minorBidi" w:cstheme="minorBidi"/>
          <w:color w:val="111111"/>
          <w:sz w:val="22"/>
          <w:szCs w:val="22"/>
        </w:rPr>
        <w:t>2017 International Joint Conference on Neural Networks (IJCNN)</w:t>
      </w:r>
      <w:r w:rsidRPr="00FC7FA7">
        <w:rPr>
          <w:rFonts w:asciiTheme="minorBidi" w:hAnsiTheme="minorBidi" w:cstheme="minorBidi"/>
          <w:color w:val="111111"/>
          <w:sz w:val="22"/>
          <w:szCs w:val="22"/>
        </w:rPr>
        <w:t> (pp. 2259–2266). IEEE.</w:t>
      </w:r>
    </w:p>
    <w:p w:rsidR="00511D7E" w:rsidRPr="00FC7FA7" w:rsidP="00C30567" w14:paraId="3EA238CE"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Ding, J., &amp; Huang, Q. (2017). Prediction of MCI to AD conversion using Laplace eigenmaps learned from FDG and MRI images of AD patients and healthy controls. In </w:t>
      </w:r>
      <w:r w:rsidRPr="00FC7FA7">
        <w:rPr>
          <w:rStyle w:val="Emphasis"/>
          <w:rFonts w:asciiTheme="minorBidi" w:eastAsiaTheme="majorEastAsia" w:hAnsiTheme="minorBidi" w:cstheme="minorBidi"/>
          <w:color w:val="111111"/>
          <w:sz w:val="22"/>
          <w:szCs w:val="22"/>
        </w:rPr>
        <w:t>2017 2nd International Conference on Image, Vision and Computing (ICIVC)</w:t>
      </w:r>
      <w:r w:rsidRPr="00FC7FA7">
        <w:rPr>
          <w:rFonts w:asciiTheme="minorBidi" w:hAnsiTheme="minorBidi" w:cstheme="minorBidi"/>
          <w:color w:val="111111"/>
          <w:sz w:val="22"/>
          <w:szCs w:val="22"/>
        </w:rPr>
        <w:t> (pp. 660–664). IEEE.</w:t>
      </w:r>
    </w:p>
    <w:p w:rsidR="00511D7E" w:rsidRPr="00FC7FA7" w:rsidP="00C30567" w14:paraId="7069FCE4"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Minhas, S., Khanum, A., Riaz, F., Alvi, A., &amp; Khan, S. A. (2016). A nonparametric approach for mild cognitive impairment to AD conversion prediction: Results on longitudinal data. </w:t>
      </w:r>
      <w:r w:rsidRPr="00FC7FA7">
        <w:rPr>
          <w:rStyle w:val="Emphasis"/>
          <w:rFonts w:asciiTheme="minorBidi" w:eastAsiaTheme="majorEastAsia" w:hAnsiTheme="minorBidi" w:cstheme="minorBidi"/>
          <w:color w:val="111111"/>
          <w:sz w:val="22"/>
          <w:szCs w:val="22"/>
        </w:rPr>
        <w:t>IEEE Journal of Biomedical and Health Informatics</w:t>
      </w:r>
      <w:r w:rsidRPr="00FC7FA7">
        <w:rPr>
          <w:rFonts w:asciiTheme="minorBidi" w:hAnsiTheme="minorBidi" w:cstheme="minorBidi"/>
          <w:color w:val="111111"/>
          <w:sz w:val="22"/>
          <w:szCs w:val="22"/>
        </w:rPr>
        <w:t>, 21(5), 1403–1410.</w:t>
      </w:r>
    </w:p>
    <w:p w:rsidR="00511D7E" w:rsidRPr="00FC7FA7" w:rsidP="00C30567" w14:paraId="2D17B0AA"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Zhang, J., Liu, M., An, L., Gao, Y., &amp; Shen, D. (2017). Alzheimer’s disease diagnosis using landmark-based features from longitudinal structural MR images. </w:t>
      </w:r>
      <w:r w:rsidRPr="00FC7FA7">
        <w:rPr>
          <w:rStyle w:val="Emphasis"/>
          <w:rFonts w:asciiTheme="minorBidi" w:eastAsiaTheme="majorEastAsia" w:hAnsiTheme="minorBidi" w:cstheme="minorBidi"/>
          <w:color w:val="111111"/>
          <w:sz w:val="22"/>
          <w:szCs w:val="22"/>
        </w:rPr>
        <w:t>IEEE Journal of Biomedical and Health Informatics</w:t>
      </w:r>
      <w:r w:rsidRPr="00FC7FA7">
        <w:rPr>
          <w:rFonts w:asciiTheme="minorBidi" w:hAnsiTheme="minorBidi" w:cstheme="minorBidi"/>
          <w:color w:val="111111"/>
          <w:sz w:val="22"/>
          <w:szCs w:val="22"/>
        </w:rPr>
        <w:t>, 21(6), 1607–1616.</w:t>
      </w:r>
    </w:p>
    <w:p w:rsidR="00511D7E" w:rsidRPr="00FC7FA7" w:rsidP="00C30567" w14:paraId="00E12ABA"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Li, F., Tran, L., Thung, K.-H., Ji, S., Shen, D., &amp; Li, J. (2015). A robust deep model for improved classification of AD/MCI patients. </w:t>
      </w:r>
      <w:r w:rsidRPr="00FC7FA7">
        <w:rPr>
          <w:rStyle w:val="Emphasis"/>
          <w:rFonts w:asciiTheme="minorBidi" w:eastAsiaTheme="majorEastAsia" w:hAnsiTheme="minorBidi" w:cstheme="minorBidi"/>
          <w:color w:val="111111"/>
          <w:sz w:val="22"/>
          <w:szCs w:val="22"/>
        </w:rPr>
        <w:t>IEEE Journal of Biomedical and Health Informatics</w:t>
      </w:r>
      <w:r w:rsidRPr="00FC7FA7">
        <w:rPr>
          <w:rFonts w:asciiTheme="minorBidi" w:hAnsiTheme="minorBidi" w:cstheme="minorBidi"/>
          <w:color w:val="111111"/>
          <w:sz w:val="22"/>
          <w:szCs w:val="22"/>
        </w:rPr>
        <w:t>, 19(5), 1610–1616.</w:t>
      </w:r>
    </w:p>
    <w:p w:rsidR="00511D7E" w:rsidRPr="00FC7FA7" w:rsidP="00C30567" w14:paraId="5930C130"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Herrera, L. J., Rojas, I., Pomares, H., Guillen, A., Valenzuela, O., &amp; Banos, O. (2013). Classification of MRI images for Alzheimer’s disease detection. In </w:t>
      </w:r>
      <w:r w:rsidRPr="00FC7FA7">
        <w:rPr>
          <w:rStyle w:val="Emphasis"/>
          <w:rFonts w:asciiTheme="minorBidi" w:eastAsiaTheme="majorEastAsia" w:hAnsiTheme="minorBidi" w:cstheme="minorBidi"/>
          <w:color w:val="111111"/>
          <w:sz w:val="22"/>
          <w:szCs w:val="22"/>
        </w:rPr>
        <w:t>2013 International Conference on Social Computing</w:t>
      </w:r>
      <w:r w:rsidRPr="00FC7FA7">
        <w:rPr>
          <w:rFonts w:asciiTheme="minorBidi" w:hAnsiTheme="minorBidi" w:cstheme="minorBidi"/>
          <w:color w:val="111111"/>
          <w:sz w:val="22"/>
          <w:szCs w:val="22"/>
        </w:rPr>
        <w:t> (pp. 846–851). IEEE.</w:t>
      </w:r>
    </w:p>
    <w:p w:rsidR="00511D7E" w:rsidRPr="00FC7FA7" w:rsidP="00C30567" w14:paraId="3E70414E"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 xml:space="preserve">Gerig, G., Kubler, O., </w:t>
      </w:r>
      <w:r w:rsidRPr="00FC7FA7">
        <w:rPr>
          <w:rFonts w:asciiTheme="minorBidi" w:hAnsiTheme="minorBidi" w:cstheme="minorBidi"/>
          <w:color w:val="111111"/>
          <w:sz w:val="22"/>
          <w:szCs w:val="22"/>
        </w:rPr>
        <w:t>Kikinis</w:t>
      </w:r>
      <w:r w:rsidRPr="00FC7FA7">
        <w:rPr>
          <w:rFonts w:asciiTheme="minorBidi" w:hAnsiTheme="minorBidi" w:cstheme="minorBidi"/>
          <w:color w:val="111111"/>
          <w:sz w:val="22"/>
          <w:szCs w:val="22"/>
        </w:rPr>
        <w:t xml:space="preserve">, R., &amp; </w:t>
      </w:r>
      <w:r w:rsidRPr="00FC7FA7">
        <w:rPr>
          <w:rFonts w:asciiTheme="minorBidi" w:hAnsiTheme="minorBidi" w:cstheme="minorBidi"/>
          <w:color w:val="111111"/>
          <w:sz w:val="22"/>
          <w:szCs w:val="22"/>
        </w:rPr>
        <w:t>Jolesz</w:t>
      </w:r>
      <w:r w:rsidRPr="00FC7FA7">
        <w:rPr>
          <w:rFonts w:asciiTheme="minorBidi" w:hAnsiTheme="minorBidi" w:cstheme="minorBidi"/>
          <w:color w:val="111111"/>
          <w:sz w:val="22"/>
          <w:szCs w:val="22"/>
        </w:rPr>
        <w:t>, F. A. (1992). Nonlinear anisotropic filtering of MRI data. </w:t>
      </w:r>
      <w:r w:rsidRPr="00FC7FA7">
        <w:rPr>
          <w:rStyle w:val="Emphasis"/>
          <w:rFonts w:asciiTheme="minorBidi" w:eastAsiaTheme="majorEastAsia" w:hAnsiTheme="minorBidi" w:cstheme="minorBidi"/>
          <w:color w:val="111111"/>
          <w:sz w:val="22"/>
          <w:szCs w:val="22"/>
        </w:rPr>
        <w:t>IEEE Transactions on Medical Imaging</w:t>
      </w:r>
      <w:r w:rsidRPr="00FC7FA7">
        <w:rPr>
          <w:rFonts w:asciiTheme="minorBidi" w:hAnsiTheme="minorBidi" w:cstheme="minorBidi"/>
          <w:color w:val="111111"/>
          <w:sz w:val="22"/>
          <w:szCs w:val="22"/>
        </w:rPr>
        <w:t>, 11(2), 221–232.</w:t>
      </w:r>
    </w:p>
    <w:p w:rsidR="00511D7E" w:rsidRPr="00FC7FA7" w:rsidP="00C30567" w14:paraId="73861DBB"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Kalavathi, P. (2013). Brain tissue segmentation in MR brain images using multiple Otsu’s thresholding technique. In </w:t>
      </w:r>
      <w:r w:rsidRPr="00FC7FA7">
        <w:rPr>
          <w:rStyle w:val="Emphasis"/>
          <w:rFonts w:asciiTheme="minorBidi" w:eastAsiaTheme="majorEastAsia" w:hAnsiTheme="minorBidi" w:cstheme="minorBidi"/>
          <w:color w:val="111111"/>
          <w:sz w:val="22"/>
          <w:szCs w:val="22"/>
        </w:rPr>
        <w:t>2013 8th International Conference on Computer Science &amp; Education</w:t>
      </w:r>
      <w:r w:rsidRPr="00FC7FA7">
        <w:rPr>
          <w:rFonts w:asciiTheme="minorBidi" w:hAnsiTheme="minorBidi" w:cstheme="minorBidi"/>
          <w:color w:val="111111"/>
          <w:sz w:val="22"/>
          <w:szCs w:val="22"/>
        </w:rPr>
        <w:t> (pp. 639–642). IEEE.</w:t>
      </w:r>
    </w:p>
    <w:p w:rsidR="00511D7E" w:rsidRPr="00FC7FA7" w:rsidP="00C30567" w14:paraId="7B2F8B50" w14:textId="77777777">
      <w:pPr>
        <w:pStyle w:val="NormalWeb"/>
        <w:numPr>
          <w:ilvl w:val="0"/>
          <w:numId w:val="12"/>
        </w:numPr>
        <w:shd w:val="clear" w:color="auto" w:fill="FFFFFF" w:themeFill="background1"/>
        <w:spacing w:before="240" w:beforeAutospacing="0" w:after="0" w:afterAutospacing="0"/>
        <w:jc w:val="both"/>
        <w:rPr>
          <w:rFonts w:asciiTheme="minorBidi" w:hAnsiTheme="minorBidi" w:cstheme="minorBidi"/>
          <w:color w:val="111111"/>
          <w:sz w:val="22"/>
          <w:szCs w:val="22"/>
        </w:rPr>
      </w:pPr>
      <w:r w:rsidRPr="00FC7FA7">
        <w:rPr>
          <w:rFonts w:asciiTheme="minorBidi" w:hAnsiTheme="minorBidi" w:cstheme="minorBidi"/>
          <w:color w:val="111111"/>
          <w:sz w:val="22"/>
          <w:szCs w:val="22"/>
        </w:rPr>
        <w:t>Shanmugavadivu, P., &amp; Sivakumar, V. (2012). Fractal dimension-based texture analysis of digital images. </w:t>
      </w:r>
      <w:r w:rsidRPr="00FC7FA7">
        <w:rPr>
          <w:rStyle w:val="Emphasis"/>
          <w:rFonts w:asciiTheme="minorBidi" w:eastAsiaTheme="majorEastAsia" w:hAnsiTheme="minorBidi" w:cstheme="minorBidi"/>
          <w:color w:val="111111"/>
          <w:sz w:val="22"/>
          <w:szCs w:val="22"/>
        </w:rPr>
        <w:t>Procedia Engineering</w:t>
      </w:r>
      <w:r w:rsidRPr="00FC7FA7">
        <w:rPr>
          <w:rFonts w:asciiTheme="minorBidi" w:hAnsiTheme="minorBidi" w:cstheme="minorBidi"/>
          <w:color w:val="111111"/>
          <w:sz w:val="22"/>
          <w:szCs w:val="22"/>
        </w:rPr>
        <w:t>, 38, 2981–2986.</w:t>
      </w:r>
    </w:p>
    <w:p w:rsidR="00511D7E" w:rsidRPr="00FC7FA7" w:rsidP="00511D7E" w14:paraId="276AB307" w14:textId="77777777">
      <w:pPr>
        <w:shd w:val="clear" w:color="auto" w:fill="FFFFFF" w:themeFill="background1"/>
        <w:spacing w:before="100" w:beforeAutospacing="1" w:after="100" w:afterAutospacing="1" w:line="240" w:lineRule="auto"/>
        <w:jc w:val="both"/>
        <w:rPr>
          <w:rFonts w:eastAsia="Times New Roman" w:asciiTheme="minorBidi" w:hAnsiTheme="minorBidi"/>
          <w:kern w:val="0"/>
          <w:sz w:val="20"/>
          <w:szCs w:val="20"/>
          <w14:ligatures w14:val="none"/>
        </w:rPr>
      </w:pPr>
    </w:p>
    <w:p w:rsidR="00D72561" w:rsidRPr="00FC7FA7" w:rsidP="00A32B7E" w14:paraId="382E7880" w14:textId="77777777">
      <w:pPr>
        <w:jc w:val="both"/>
        <w:rPr>
          <w:rFonts w:asciiTheme="minorBidi" w:hAnsiTheme="minorBidi"/>
          <w:sz w:val="22"/>
          <w:szCs w:val="22"/>
          <w:lang w:bidi="fa-IR"/>
        </w:rPr>
      </w:pPr>
    </w:p>
    <w:sectPr w:rsidSect="00A32B7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7865063"/>
    <w:multiLevelType w:val="hybridMultilevel"/>
    <w:tmpl w:val="7E9A4A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114F48"/>
    <w:multiLevelType w:val="multilevel"/>
    <w:tmpl w:val="A2FC0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C7B24"/>
    <w:multiLevelType w:val="multilevel"/>
    <w:tmpl w:val="CC34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36DC4"/>
    <w:multiLevelType w:val="multilevel"/>
    <w:tmpl w:val="936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94335"/>
    <w:multiLevelType w:val="multilevel"/>
    <w:tmpl w:val="2BAE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48073A"/>
    <w:multiLevelType w:val="hybridMultilevel"/>
    <w:tmpl w:val="E2684A6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5FD24F41"/>
    <w:multiLevelType w:val="multilevel"/>
    <w:tmpl w:val="6A0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67BF8"/>
    <w:multiLevelType w:val="hybridMultilevel"/>
    <w:tmpl w:val="2B467F64"/>
    <w:lvl w:ilvl="0">
      <w:start w:val="5"/>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F782879"/>
    <w:multiLevelType w:val="multilevel"/>
    <w:tmpl w:val="D24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2756B"/>
    <w:multiLevelType w:val="multilevel"/>
    <w:tmpl w:val="B7C2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42BF5"/>
    <w:multiLevelType w:val="hybridMultilevel"/>
    <w:tmpl w:val="9D427BF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C6C0D8A"/>
    <w:multiLevelType w:val="multilevel"/>
    <w:tmpl w:val="3C9C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864308">
    <w:abstractNumId w:val="3"/>
  </w:num>
  <w:num w:numId="2" w16cid:durableId="492571013">
    <w:abstractNumId w:val="11"/>
  </w:num>
  <w:num w:numId="3" w16cid:durableId="638724445">
    <w:abstractNumId w:val="6"/>
  </w:num>
  <w:num w:numId="4" w16cid:durableId="1704986286">
    <w:abstractNumId w:val="2"/>
  </w:num>
  <w:num w:numId="5" w16cid:durableId="106243985">
    <w:abstractNumId w:val="8"/>
  </w:num>
  <w:num w:numId="6" w16cid:durableId="431125208">
    <w:abstractNumId w:val="10"/>
  </w:num>
  <w:num w:numId="7" w16cid:durableId="1628318960">
    <w:abstractNumId w:val="7"/>
  </w:num>
  <w:num w:numId="8" w16cid:durableId="1181353984">
    <w:abstractNumId w:val="0"/>
  </w:num>
  <w:num w:numId="9" w16cid:durableId="587928723">
    <w:abstractNumId w:val="1"/>
  </w:num>
  <w:num w:numId="10" w16cid:durableId="1364985559">
    <w:abstractNumId w:val="9"/>
  </w:num>
  <w:num w:numId="11" w16cid:durableId="1677421347">
    <w:abstractNumId w:val="4"/>
  </w:num>
  <w:num w:numId="12" w16cid:durableId="88892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7F"/>
    <w:rsid w:val="00100EE6"/>
    <w:rsid w:val="00120163"/>
    <w:rsid w:val="001D5028"/>
    <w:rsid w:val="001F39D1"/>
    <w:rsid w:val="00327918"/>
    <w:rsid w:val="003707F9"/>
    <w:rsid w:val="0046774E"/>
    <w:rsid w:val="004F7467"/>
    <w:rsid w:val="00511D7E"/>
    <w:rsid w:val="00513CFB"/>
    <w:rsid w:val="005513F4"/>
    <w:rsid w:val="006478FC"/>
    <w:rsid w:val="00724672"/>
    <w:rsid w:val="0074417F"/>
    <w:rsid w:val="00773160"/>
    <w:rsid w:val="007C28C1"/>
    <w:rsid w:val="007D427F"/>
    <w:rsid w:val="00844CEC"/>
    <w:rsid w:val="009D73D7"/>
    <w:rsid w:val="00A1734C"/>
    <w:rsid w:val="00A212D8"/>
    <w:rsid w:val="00A213E6"/>
    <w:rsid w:val="00A21449"/>
    <w:rsid w:val="00A32B7E"/>
    <w:rsid w:val="00B352D9"/>
    <w:rsid w:val="00C30567"/>
    <w:rsid w:val="00CE4EE8"/>
    <w:rsid w:val="00D72561"/>
    <w:rsid w:val="00F66BF1"/>
    <w:rsid w:val="00F903A7"/>
    <w:rsid w:val="00FC7FA7"/>
    <w:rsid w:val="00FF6690"/>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4:docId w14:val="6D8AA543"/>
  <w15:chartTrackingRefBased/>
  <w15:docId w15:val="{E7B069CF-D36F-410C-B927-9883ACC6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4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4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17F"/>
    <w:rPr>
      <w:rFonts w:eastAsiaTheme="majorEastAsia" w:cstheme="majorBidi"/>
      <w:color w:val="272727" w:themeColor="text1" w:themeTint="D8"/>
    </w:rPr>
  </w:style>
  <w:style w:type="paragraph" w:styleId="Title">
    <w:name w:val="Title"/>
    <w:basedOn w:val="Normal"/>
    <w:next w:val="Normal"/>
    <w:link w:val="TitleChar"/>
    <w:uiPriority w:val="10"/>
    <w:qFormat/>
    <w:rsid w:val="0074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17F"/>
    <w:pPr>
      <w:spacing w:before="160"/>
      <w:jc w:val="center"/>
    </w:pPr>
    <w:rPr>
      <w:i/>
      <w:iCs/>
      <w:color w:val="404040" w:themeColor="text1" w:themeTint="BF"/>
    </w:rPr>
  </w:style>
  <w:style w:type="character" w:customStyle="1" w:styleId="QuoteChar">
    <w:name w:val="Quote Char"/>
    <w:basedOn w:val="DefaultParagraphFont"/>
    <w:link w:val="Quote"/>
    <w:uiPriority w:val="29"/>
    <w:rsid w:val="0074417F"/>
    <w:rPr>
      <w:i/>
      <w:iCs/>
      <w:color w:val="404040" w:themeColor="text1" w:themeTint="BF"/>
    </w:rPr>
  </w:style>
  <w:style w:type="paragraph" w:styleId="ListParagraph">
    <w:name w:val="List Paragraph"/>
    <w:basedOn w:val="Normal"/>
    <w:uiPriority w:val="34"/>
    <w:qFormat/>
    <w:rsid w:val="0074417F"/>
    <w:pPr>
      <w:ind w:left="720"/>
      <w:contextualSpacing/>
    </w:pPr>
  </w:style>
  <w:style w:type="character" w:styleId="IntenseEmphasis">
    <w:name w:val="Intense Emphasis"/>
    <w:basedOn w:val="DefaultParagraphFont"/>
    <w:uiPriority w:val="21"/>
    <w:qFormat/>
    <w:rsid w:val="0074417F"/>
    <w:rPr>
      <w:i/>
      <w:iCs/>
      <w:color w:val="0F4761" w:themeColor="accent1" w:themeShade="BF"/>
    </w:rPr>
  </w:style>
  <w:style w:type="paragraph" w:styleId="IntenseQuote">
    <w:name w:val="Intense Quote"/>
    <w:basedOn w:val="Normal"/>
    <w:next w:val="Normal"/>
    <w:link w:val="IntenseQuoteChar"/>
    <w:uiPriority w:val="30"/>
    <w:qFormat/>
    <w:rsid w:val="00744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17F"/>
    <w:rPr>
      <w:i/>
      <w:iCs/>
      <w:color w:val="0F4761" w:themeColor="accent1" w:themeShade="BF"/>
    </w:rPr>
  </w:style>
  <w:style w:type="character" w:styleId="IntenseReference">
    <w:name w:val="Intense Reference"/>
    <w:basedOn w:val="DefaultParagraphFont"/>
    <w:uiPriority w:val="32"/>
    <w:qFormat/>
    <w:rsid w:val="0074417F"/>
    <w:rPr>
      <w:b/>
      <w:bCs/>
      <w:smallCaps/>
      <w:color w:val="0F4761" w:themeColor="accent1" w:themeShade="BF"/>
      <w:spacing w:val="5"/>
    </w:rPr>
  </w:style>
  <w:style w:type="paragraph" w:styleId="NormalWeb">
    <w:name w:val="Normal (Web)"/>
    <w:basedOn w:val="Normal"/>
    <w:uiPriority w:val="99"/>
    <w:semiHidden/>
    <w:unhideWhenUsed/>
    <w:rsid w:val="007441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417F"/>
    <w:rPr>
      <w:b/>
      <w:bCs/>
    </w:rPr>
  </w:style>
  <w:style w:type="table" w:styleId="TableGrid">
    <w:name w:val="Table Grid"/>
    <w:basedOn w:val="TableNormal"/>
    <w:uiPriority w:val="39"/>
    <w:rsid w:val="009D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1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5FDF-E7A5-4247-8CC2-20DF882A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3267</Words>
  <Characters>18624</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Abstract:</vt:lpstr>
      <vt:lpstr>Introduction:</vt:lpstr>
      <vt:lpstr>    Background and Related Work:</vt:lpstr>
      <vt:lpstr>Innovation: Multi-level Fusion with Explainability</vt:lpstr>
      <vt:lpstr>Methods:</vt:lpstr>
      <vt:lpstr>Results:</vt:lpstr>
      <vt:lpstr>Conclusion</vt:lpstr>
      <vt:lpstr>Discussion and Future Directions</vt:lpstr>
      <vt:lpstr>References:</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 Gholipour</dc:creator>
  <cp:lastModifiedBy>Shima Gholipour</cp:lastModifiedBy>
  <cp:revision>3</cp:revision>
  <dcterms:created xsi:type="dcterms:W3CDTF">2024-07-25T18:21:00Z</dcterms:created>
  <dcterms:modified xsi:type="dcterms:W3CDTF">2024-07-25T18:41:00Z</dcterms:modified>
</cp:coreProperties>
</file>