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r>
        <w:rPr>
          <w:rFonts w:cs="B Nazanin" w:hint="cs"/>
          <w:b/>
          <w:bCs/>
          <w:sz w:val="36"/>
          <w:szCs w:val="36"/>
          <w:rtl/>
        </w:rPr>
        <w:t>محمد صادقی، مهدی مالوردی</w:t>
      </w: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۱۴۰۴/۱۱/۲۴</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ns2:paraId="766C72CF" ns2:textId="77777777" w:rsidR="00D9687B" w:rsidRPr="006007F5" w:rsidRDefault="00D9687B" w:rsidP="00BB5BCD">
      <w:pPr>
        <w:rPr>
          <w:rFonts w:cs="B Nazanin"/>
          <w:sz w:val="28"/>
          <w:szCs w:val="28"/>
          <w:rtl/>
        </w:rPr>
      </w:pPr>
    </w:p>
    <w:p ns2:paraId="397D6583" ns2:textId="77777777" w:rsidR="009C269B" w:rsidRPr="00DD0F13" w:rsidRDefault="00231AA4">
      <w:pPr>
        <w:pStyle w:val="TOC1"/>
        <w:rPr>
          <w:rFonts w:asciiTheme="minorHAnsi" w:eastAsiaTheme="minorEastAsia" w:hAnsiTheme="minorHAnsi" w:cs="B Nazanin"/>
          <w:b w:val="0"/>
          <w:bCs w:val="0"/>
          <w:noProof/>
          <w:sz w:val="22"/>
          <w:szCs w:val="22"/>
          <w:rtl/>
          <w:lang w:bidi="ar-SA"/>
        </w:rPr>
      </w:pPr>
      <w:r w:rsidRPr="00B23F07">
        <w:rPr>
          <w:rFonts w:cs="B Nazanin"/>
          <w:sz w:val="28"/>
        </w:rPr>
        <w:fldChar w:fldCharType="begin"/>
      </w:r>
      <w:r w:rsidRPr="00B23F07">
        <w:rPr>
          <w:rFonts w:cs="B Nazanin"/>
          <w:sz w:val="28"/>
        </w:rPr>
        <w:instrText xml:space="preserve"> TOC \o "1-3" \h \z \u </w:instrText>
      </w:r>
      <w:r w:rsidRPr="00B23F07">
        <w:rPr>
          <w:rFonts w:cs="B Nazanin"/>
          <w:sz w:val="28"/>
        </w:rPr>
        <w:fldChar w:fldCharType="separate"/>
      </w:r>
      <w:hyperlink w:anchor="_Toc185417483" w:history="1">
        <w:r w:rsidR="009C269B" w:rsidRPr="00DD0F13">
          <w:rPr>
            <w:rStyle w:val="Hyperlink"/>
            <w:rFonts w:cs="B Nazanin"/>
            <w:noProof/>
            <w:rtl/>
          </w:rPr>
          <w:t>1-</w:t>
        </w:r>
        <w:r w:rsidR="009C269B" w:rsidRPr="00DD0F13">
          <w:rPr>
            <w:rFonts w:asciiTheme="minorHAnsi" w:eastAsiaTheme="minorEastAsia" w:hAnsiTheme="minorHAnsi" w:cs="B Nazanin"/>
            <w:b w:val="0"/>
            <w:bCs w:val="0"/>
            <w:noProof/>
            <w:sz w:val="22"/>
            <w:szCs w:val="22"/>
            <w:rtl/>
            <w:lang w:bidi="ar-SA"/>
          </w:rPr>
          <w:tab/>
        </w:r>
        <w:r w:rsidR="009C269B" w:rsidRPr="00DD0F13">
          <w:rPr>
            <w:rStyle w:val="Hyperlink"/>
            <w:rFonts w:cs="B Nazanin"/>
            <w:noProof/>
            <w:rtl/>
          </w:rPr>
          <w:t>کليات سند</w:t>
        </w:r>
        <w:r w:rsidR="009C269B" w:rsidRPr="00DD0F13">
          <w:rPr>
            <w:rFonts w:cs="B Nazanin"/>
            <w:noProof/>
            <w:webHidden/>
            <w:rtl/>
          </w:rPr>
          <w:tab/>
        </w:r>
        <w:r w:rsidR="009C269B" w:rsidRPr="00DD0F13">
          <w:rPr>
            <w:rFonts w:cs="B Nazanin"/>
            <w:noProof/>
            <w:webHidden/>
            <w:rtl/>
          </w:rPr>
          <w:fldChar w:fldCharType="begin"/>
        </w:r>
        <w:r w:rsidR="009C269B" w:rsidRPr="00DD0F13">
          <w:rPr>
            <w:rFonts w:cs="B Nazanin"/>
            <w:noProof/>
            <w:webHidden/>
            <w:rtl/>
          </w:rPr>
          <w:instrText xml:space="preserve"> </w:instrText>
        </w:r>
        <w:r w:rsidR="009C269B" w:rsidRPr="00DD0F13">
          <w:rPr>
            <w:rFonts w:cs="B Nazanin"/>
            <w:noProof/>
            <w:webHidden/>
          </w:rPr>
          <w:instrText>PAGEREF</w:instrText>
        </w:r>
        <w:r w:rsidR="009C269B" w:rsidRPr="00DD0F13">
          <w:rPr>
            <w:rFonts w:cs="B Nazanin"/>
            <w:noProof/>
            <w:webHidden/>
            <w:rtl/>
          </w:rPr>
          <w:instrText xml:space="preserve"> _</w:instrText>
        </w:r>
        <w:r w:rsidR="009C269B" w:rsidRPr="00DD0F13">
          <w:rPr>
            <w:rFonts w:cs="B Nazanin"/>
            <w:noProof/>
            <w:webHidden/>
          </w:rPr>
          <w:instrText>Toc185417483 \h</w:instrText>
        </w:r>
        <w:r w:rsidR="009C269B" w:rsidRPr="00DD0F13">
          <w:rPr>
            <w:rFonts w:cs="B Nazanin"/>
            <w:noProof/>
            <w:webHidden/>
            <w:rtl/>
          </w:rPr>
          <w:instrText xml:space="preserve"> </w:instrText>
        </w:r>
        <w:r w:rsidR="009C269B" w:rsidRPr="00DD0F13">
          <w:rPr>
            <w:rFonts w:cs="B Nazanin"/>
            <w:noProof/>
            <w:webHidden/>
            <w:rtl/>
          </w:rPr>
        </w:r>
        <w:r w:rsidR="009C269B" w:rsidRPr="00DD0F13">
          <w:rPr>
            <w:rFonts w:cs="B Nazanin"/>
            <w:noProof/>
            <w:webHidden/>
            <w:rtl/>
          </w:rPr>
          <w:fldChar w:fldCharType="separate"/>
        </w:r>
        <w:r w:rsidR="009663A4">
          <w:rPr>
            <w:rFonts w:cs="B Nazanin"/>
            <w:noProof/>
            <w:webHidden/>
            <w:rtl/>
          </w:rPr>
          <w:t>5</w:t>
        </w:r>
        <w:r w:rsidR="009C269B" w:rsidRPr="00DD0F13">
          <w:rPr>
            <w:rFonts w:cs="B Nazanin"/>
            <w:noProof/>
            <w:webHidden/>
            <w:rtl/>
          </w:rPr>
          <w:fldChar w:fldCharType="end"/>
        </w:r>
      </w:hyperlink>
    </w:p>
    <w:p ns2:paraId="1AAC253D"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4" w:history="1">
        <w:r w:rsidRPr="009663A4">
          <w:rPr>
            <w:rStyle w:val="Hyperlink"/>
            <w:rtl/>
          </w:rPr>
          <w:t>1-1-هدف</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Toc185417484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91D560C"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5" w:history="1">
        <w:r w:rsidRPr="009663A4">
          <w:rPr>
            <w:rStyle w:val="Hyperlink"/>
            <w:rtl/>
          </w:rPr>
          <w:t>1-2-محدوده</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Toc185417485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57AEFBD"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6" w:history="1">
        <w:r w:rsidRPr="00DD0F13">
          <w:rPr>
            <w:rStyle w:val="Hyperlink"/>
            <w:rFonts w:cs="B Nazanin"/>
            <w:noProof/>
            <w:rtl/>
          </w:rPr>
          <w:t>2-</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نما</w:t>
        </w:r>
        <w:r w:rsidRPr="00DD0F13">
          <w:rPr>
            <w:rStyle w:val="Hyperlink"/>
            <w:rFonts w:cs="B Nazanin" w:hint="cs"/>
            <w:noProof/>
            <w:rtl/>
          </w:rPr>
          <w:t>ی</w:t>
        </w:r>
        <w:r w:rsidRPr="00DD0F13">
          <w:rPr>
            <w:rStyle w:val="Hyperlink"/>
            <w:rFonts w:cs="B Nazanin" w:hint="eastAsia"/>
            <w:noProof/>
            <w:rtl/>
          </w:rPr>
          <w:t>ش</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684BF648"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87" w:history="1">
        <w:r w:rsidRPr="00DD0F13">
          <w:rPr>
            <w:rStyle w:val="Hyperlink"/>
            <w:rFonts w:cs="B Nazanin"/>
            <w:noProof/>
            <w:rtl/>
          </w:rPr>
          <w:t>3-</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اهداف و محدود</w:t>
        </w:r>
        <w:r w:rsidRPr="00DD0F13">
          <w:rPr>
            <w:rStyle w:val="Hyperlink"/>
            <w:rFonts w:cs="B Nazanin" w:hint="cs"/>
            <w:noProof/>
            <w:rtl/>
          </w:rPr>
          <w:t>یت</w:t>
        </w:r>
        <w:r w:rsidRPr="00DD0F13">
          <w:rPr>
            <w:rStyle w:val="Hyperlink"/>
            <w:rFonts w:cs="B Nazanin" w:hint="eastAsia"/>
            <w:noProof/>
            <w:rtl/>
          </w:rPr>
          <w:t>‌</w:t>
        </w:r>
        <w:r w:rsidRPr="00DD0F13">
          <w:rPr>
            <w:rStyle w:val="Hyperlink"/>
            <w:rFonts w:cs="B Nazanin"/>
            <w:noProof/>
            <w:rtl/>
          </w:rPr>
          <w:t>ها</w:t>
        </w:r>
        <w:r w:rsidRPr="00DD0F13">
          <w:rPr>
            <w:rStyle w:val="Hyperlink"/>
            <w:rFonts w:cs="B Nazanin" w:hint="cs"/>
            <w:noProof/>
            <w:rtl/>
          </w:rPr>
          <w:t>ی</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Toc185417487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4534131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8" w:history="1">
        <w:r w:rsidRPr="00DD0F13">
          <w:rPr>
            <w:rStyle w:val="Hyperlink"/>
            <w:rFonts w:cs="B Nazanin"/>
            <w:noProof/>
            <w:rtl/>
          </w:rPr>
          <w:t>4-</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سنار</w:t>
        </w:r>
        <w:r w:rsidRPr="00DD0F13">
          <w:rPr>
            <w:rStyle w:val="Hyperlink"/>
            <w:rFonts w:cs="B Nazanin" w:hint="cs"/>
            <w:noProof/>
            <w:rtl/>
          </w:rPr>
          <w:t>ی</w:t>
        </w:r>
        <w:r w:rsidRPr="00DD0F13">
          <w:rPr>
            <w:rStyle w:val="Hyperlink"/>
            <w:rFonts w:cs="B Nazanin" w:hint="eastAsia"/>
            <w:noProof/>
            <w:rtl/>
          </w:rPr>
          <w:t>وها</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Toc185417488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6</w:t>
        </w:r>
        <w:r w:rsidRPr="00DD0F13">
          <w:rPr>
            <w:rFonts w:cs="B Nazanin"/>
            <w:noProof/>
            <w:webHidden/>
            <w:rtl/>
          </w:rPr>
          <w:fldChar w:fldCharType="end"/>
        </w:r>
      </w:hyperlink>
    </w:p>
    <w:p ns2:paraId="79CCC7D2" ns2:textId="77777777" w:rsidR="009C269B" w:rsidRPr="008A46CD" w:rsidRDefault="009C269B" w:rsidP="009663A4">
      <w:pPr>
        <w:pStyle w:val="TOC2"/>
        <w:rPr>
          <w:rFonts w:asciiTheme="minorHAnsi" w:eastAsiaTheme="minorEastAsia" w:hAnsiTheme="minorHAnsi"/>
          <w:sz w:val="22"/>
          <w:szCs w:val="22"/>
          <w:rtl/>
          <w:lang w:bidi="ar-SA"/>
        </w:rPr>
      </w:pPr>
      <w:hyperlink w:anchor="_Toc185417489" w:history="1">
        <w:r w:rsidRPr="008A46CD">
          <w:rPr>
            <w:rStyle w:val="Hyperlink"/>
            <w:rtl/>
          </w:rPr>
          <w:t>4-1-ع</w:t>
        </w:r>
        <w:r w:rsidRPr="008A46CD">
          <w:rPr>
            <w:rStyle w:val="Hyperlink"/>
            <w:rFonts w:hint="cs"/>
            <w:rtl/>
          </w:rPr>
          <w:t>ی</w:t>
        </w:r>
        <w:r w:rsidRPr="008A46CD">
          <w:rPr>
            <w:rStyle w:val="Hyperlink"/>
            <w:rFonts w:hint="eastAsia"/>
            <w:rtl/>
          </w:rPr>
          <w:t>ن</w:t>
        </w:r>
        <w:r w:rsidRPr="008A46CD">
          <w:rPr>
            <w:rStyle w:val="Hyperlink"/>
            <w:rFonts w:hint="cs"/>
            <w:rtl/>
          </w:rPr>
          <w:t>ی</w:t>
        </w:r>
        <w:r w:rsidRPr="008A46CD">
          <w:rPr>
            <w:rStyle w:val="Hyperlink"/>
            <w:rFonts w:hint="eastAsia"/>
            <w:rtl/>
          </w:rPr>
          <w:t>ت</w:t>
        </w:r>
        <w:r w:rsidRPr="008A46CD">
          <w:rPr>
            <w:rStyle w:val="Hyperlink"/>
            <w:rFonts w:hint="cs"/>
            <w:rtl/>
          </w:rPr>
          <w:t>‌</w:t>
        </w:r>
        <w:r w:rsidRPr="008A46CD">
          <w:rPr>
            <w:rStyle w:val="Hyperlink"/>
            <w:rtl/>
          </w:rPr>
          <w:t>بخش</w:t>
        </w:r>
        <w:r w:rsidRPr="008A46CD">
          <w:rPr>
            <w:rStyle w:val="Hyperlink"/>
            <w:rFonts w:hint="cs"/>
            <w:rtl/>
          </w:rPr>
          <w:t>ی</w:t>
        </w:r>
        <w:r w:rsidRPr="008A46CD">
          <w:rPr>
            <w:rStyle w:val="Hyperlink"/>
            <w:rtl/>
          </w:rPr>
          <w:t xml:space="preserve"> موارد کاربر</w:t>
        </w:r>
        <w:r w:rsidRPr="008A46CD">
          <w:rPr>
            <w:rStyle w:val="Hyperlink"/>
            <w:rFonts w:hint="cs"/>
            <w:rtl/>
          </w:rPr>
          <w:t>ی</w:t>
        </w:r>
        <w:r w:rsidRPr="008A46CD">
          <w:rPr>
            <w:webHidden/>
            <w:rtl/>
          </w:rPr>
          <w:tab/>
        </w:r>
        <w:r w:rsidRPr="008A46CD">
          <w:rPr>
            <w:webHidden/>
            <w:rtl/>
          </w:rPr>
          <w:fldChar w:fldCharType="begin"/>
        </w:r>
        <w:r w:rsidRPr="008A46CD">
          <w:rPr>
            <w:webHidden/>
            <w:rtl/>
          </w:rPr>
          <w:instrText xml:space="preserve"> </w:instrText>
        </w:r>
        <w:r w:rsidRPr="008A46CD">
          <w:rPr>
            <w:webHidden/>
          </w:rPr>
          <w:instrText>PAGEREF</w:instrText>
        </w:r>
        <w:r w:rsidRPr="008A46CD">
          <w:rPr>
            <w:webHidden/>
            <w:rtl/>
          </w:rPr>
          <w:instrText xml:space="preserve"> _</w:instrText>
        </w:r>
        <w:r w:rsidRPr="008A46CD">
          <w:rPr>
            <w:webHidden/>
          </w:rPr>
          <w:instrText>Toc185417489 \h</w:instrText>
        </w:r>
        <w:r w:rsidRPr="008A46CD">
          <w:rPr>
            <w:webHidden/>
            <w:rtl/>
          </w:rPr>
          <w:instrText xml:space="preserve"> </w:instrText>
        </w:r>
        <w:r w:rsidRPr="008A46CD">
          <w:rPr>
            <w:webHidden/>
            <w:rtl/>
          </w:rPr>
        </w:r>
        <w:r w:rsidRPr="008A46CD">
          <w:rPr>
            <w:webHidden/>
            <w:rtl/>
          </w:rPr>
          <w:fldChar w:fldCharType="separate"/>
        </w:r>
        <w:r w:rsidR="009663A4">
          <w:rPr>
            <w:webHidden/>
            <w:rtl/>
          </w:rPr>
          <w:t>6</w:t>
        </w:r>
        <w:r w:rsidRPr="008A46CD">
          <w:rPr>
            <w:webHidden/>
            <w:rtl/>
          </w:rPr>
          <w:fldChar w:fldCharType="end"/>
        </w:r>
      </w:hyperlink>
    </w:p>
    <w:p ns2:paraId="401AB029"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0" w:history="1">
        <w:r w:rsidRPr="00DD0F13">
          <w:rPr>
            <w:rStyle w:val="Hyperlink"/>
            <w:rFonts w:cs="B Nazanin"/>
            <w:noProof/>
            <w:rtl/>
          </w:rPr>
          <w:t>5-</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منطق</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Toc185417490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5AE4EB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1" w:history="1">
        <w:r w:rsidRPr="00DD0F13">
          <w:rPr>
            <w:rStyle w:val="Hyperlink"/>
            <w:rFonts w:cs="B Nazanin"/>
            <w:noProof/>
            <w:rtl/>
          </w:rPr>
          <w:t>6-</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فرا</w:t>
        </w:r>
        <w:r w:rsidRPr="00DD0F13">
          <w:rPr>
            <w:rStyle w:val="Hyperlink"/>
            <w:rFonts w:cs="B Nazanin" w:hint="cs"/>
            <w:noProof/>
            <w:rtl/>
          </w:rPr>
          <w:t>ی</w:t>
        </w:r>
        <w:r w:rsidRPr="00DD0F13">
          <w:rPr>
            <w:rStyle w:val="Hyperlink"/>
            <w:rFonts w:cs="B Nazanin" w:hint="eastAsia"/>
            <w:noProof/>
            <w:rtl/>
          </w:rPr>
          <w:t>ند</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Toc185417491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1B3A38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2" w:history="1">
        <w:r w:rsidRPr="00DD0F13">
          <w:rPr>
            <w:rStyle w:val="Hyperlink"/>
            <w:rFonts w:cs="B Nazanin"/>
            <w:noProof/>
            <w:rtl/>
          </w:rPr>
          <w:t>7-</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w:t>
        </w:r>
        <w:r w:rsidRPr="00DD0F13">
          <w:rPr>
            <w:rStyle w:val="Hyperlink"/>
            <w:rFonts w:cs="B Nazanin" w:hint="cs"/>
            <w:noProof/>
            <w:rtl/>
          </w:rPr>
          <w:t>ی</w:t>
        </w:r>
        <w:r w:rsidRPr="00DD0F13">
          <w:rPr>
            <w:rStyle w:val="Hyperlink"/>
            <w:rFonts w:cs="B Nazanin" w:hint="eastAsia"/>
            <w:noProof/>
            <w:rtl/>
          </w:rPr>
          <w:t>ز</w:t>
        </w:r>
        <w:r w:rsidRPr="00DD0F13">
          <w:rPr>
            <w:rStyle w:val="Hyperlink"/>
            <w:rFonts w:cs="B Nazanin" w:hint="cs"/>
            <w:noProof/>
            <w:rtl/>
          </w:rPr>
          <w:t>ی</w:t>
        </w:r>
        <w:r w:rsidRPr="00DD0F13">
          <w:rPr>
            <w:rStyle w:val="Hyperlink"/>
            <w:rFonts w:cs="B Nazanin" w:hint="eastAsia"/>
            <w:noProof/>
            <w:rtl/>
          </w:rPr>
          <w:t>ک</w:t>
        </w:r>
        <w:r w:rsidRPr="00DD0F13">
          <w:rPr>
            <w:rStyle w:val="Hyperlink"/>
            <w:rFonts w:cs="B Nazanin" w:hint="cs"/>
            <w:noProof/>
            <w:rtl/>
          </w:rPr>
          <w:t>ی</w:t>
        </w:r>
        <w:r w:rsidRPr="00DD0F13">
          <w:rPr>
            <w:rStyle w:val="Hyperlink"/>
            <w:rFonts w:cs="B Nazanin"/>
            <w:noProof/>
            <w:rtl/>
          </w:rPr>
          <w:t xml:space="preserve"> (استقرار)</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Toc185417492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23A512A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3" w:history="1">
        <w:r w:rsidRPr="00DD0F13">
          <w:rPr>
            <w:rStyle w:val="Hyperlink"/>
            <w:rFonts w:cs="B Nazanin"/>
            <w:noProof/>
            <w:rtl/>
          </w:rPr>
          <w:t>8-</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توسعه</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Toc185417493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0EC8DD92"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4" w:history="1">
        <w:r w:rsidRPr="00DD0F13">
          <w:rPr>
            <w:rStyle w:val="Hyperlink"/>
            <w:rFonts w:cs="B Nazanin"/>
            <w:noProof/>
            <w:rtl/>
          </w:rPr>
          <w:t>9-</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داده (اخت</w:t>
        </w:r>
        <w:r w:rsidRPr="00DD0F13">
          <w:rPr>
            <w:rStyle w:val="Hyperlink"/>
            <w:rFonts w:cs="B Nazanin" w:hint="cs"/>
            <w:noProof/>
            <w:rtl/>
          </w:rPr>
          <w:t>ی</w:t>
        </w:r>
        <w:r w:rsidRPr="00DD0F13">
          <w:rPr>
            <w:rStyle w:val="Hyperlink"/>
            <w:rFonts w:cs="B Nazanin" w:hint="eastAsia"/>
            <w:noProof/>
            <w:rtl/>
          </w:rPr>
          <w:t>ار</w:t>
        </w:r>
        <w:r w:rsidRPr="00DD0F13">
          <w:rPr>
            <w:rStyle w:val="Hyperlink"/>
            <w:rFonts w:cs="B Nazanin" w:hint="cs"/>
            <w:noProof/>
            <w:rtl/>
          </w:rPr>
          <w:t>ی</w:t>
        </w:r>
        <w:r w:rsidRPr="00DD0F13">
          <w:rPr>
            <w:rStyle w:val="Hyperlink"/>
            <w:rFonts w:cs="B Nazanin"/>
            <w:noProof/>
            <w:rtl/>
          </w:rPr>
          <w:t>)</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Toc185417494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4AE8E229"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95" w:history="1">
        <w:r w:rsidRPr="00DD0F13">
          <w:rPr>
            <w:rStyle w:val="Hyperlink"/>
            <w:rFonts w:cs="B Nazanin"/>
            <w:noProof/>
            <w:rtl/>
          </w:rPr>
          <w:t>10-کارا</w:t>
        </w:r>
        <w:r w:rsidRPr="00DD0F13">
          <w:rPr>
            <w:rStyle w:val="Hyperlink"/>
            <w:rFonts w:cs="B Nazanin" w:hint="cs"/>
            <w:noProof/>
            <w:rtl/>
          </w:rPr>
          <w:t>یی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Toc185417495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63391A9B" ns2:textId="77777777" w:rsidR="009C269B" w:rsidRDefault="009C269B" w:rsidP="009C269B">
      <w:pPr>
        <w:pStyle w:val="TOC1"/>
        <w:rPr>
          <w:rFonts w:asciiTheme="minorHAnsi" w:eastAsiaTheme="minorEastAsia" w:hAnsiTheme="minorHAnsi" w:cstheme="minorBidi"/>
          <w:b w:val="0"/>
          <w:bCs w:val="0"/>
          <w:noProof/>
          <w:sz w:val="22"/>
          <w:szCs w:val="22"/>
          <w:rtl/>
          <w:lang w:bidi="ar-SA"/>
        </w:rPr>
      </w:pPr>
      <w:hyperlink w:anchor="_Toc185417496" w:history="1">
        <w:r w:rsidRPr="00DD0F13">
          <w:rPr>
            <w:rStyle w:val="Hyperlink"/>
            <w:rFonts w:cs="B Nazanin"/>
            <w:noProof/>
            <w:rtl/>
          </w:rPr>
          <w:t>11-ک</w:t>
        </w:r>
        <w:r w:rsidRPr="00DD0F13">
          <w:rPr>
            <w:rStyle w:val="Hyperlink"/>
            <w:rFonts w:cs="B Nazanin" w:hint="cs"/>
            <w:noProof/>
            <w:rtl/>
          </w:rPr>
          <w:t>ی</w:t>
        </w:r>
        <w:r w:rsidRPr="00DD0F13">
          <w:rPr>
            <w:rStyle w:val="Hyperlink"/>
            <w:rFonts w:cs="B Nazanin" w:hint="eastAsia"/>
            <w:noProof/>
            <w:rtl/>
          </w:rPr>
          <w:t>ف</w:t>
        </w:r>
        <w:r w:rsidRPr="00DD0F13">
          <w:rPr>
            <w:rStyle w:val="Hyperlink"/>
            <w:rFonts w:cs="B Nazanin" w:hint="cs"/>
            <w:noProof/>
            <w:rtl/>
          </w:rPr>
          <w:t>ی</w:t>
        </w:r>
        <w:r w:rsidRPr="00DD0F13">
          <w:rPr>
            <w:rStyle w:val="Hyperlink"/>
            <w:rFonts w:cs="B Nazanin" w:hint="eastAsia"/>
            <w:noProof/>
            <w:rtl/>
          </w:rPr>
          <w:t>ت</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20BE92BD" ns2:textId="77777777" w:rsidR="00231AA4" w:rsidRPr="006007F5" w:rsidRDefault="00231AA4" w:rsidP="00B23F07">
      <w:pPr>
        <w:jc w:val="lowKashida"/>
        <w:rPr>
          <w:rFonts w:cs="B Nazanin"/>
        </w:rPr>
      </w:pPr>
      <w:r w:rsidRPr="00B23F07">
        <w:rPr>
          <w:rFonts w:cs="B Nazanin"/>
          <w:sz w:val="28"/>
          <w:szCs w:val="28"/>
        </w:rPr>
        <w:fldChar w:fldCharType="end"/>
      </w:r>
    </w:p>
    <w:p ns2:paraId="4A101BC0" ns2:textId="77777777" w:rsidR="00F84D07" w:rsidRDefault="00F84D07" w:rsidP="00BB5BCD">
      <w:pPr>
        <w:rPr>
          <w:rFonts w:cs="B Nazanin"/>
          <w:sz w:val="28"/>
          <w:szCs w:val="28"/>
          <w:rtl/>
        </w:rPr>
        <w:sectPr w:rsidR="00F84D07" w:rsidSect="0057139A">
          <w:headerReference w:type="default" r:id="rId9"/>
          <w:footerReference w:type="default" r:id="rId10"/>
          <w:pgSz w:w="11906" w:h="16838"/>
          <w:pgMar w:top="1440" w:right="1800" w:bottom="1440" w:left="1800" w:header="720" w:footer="720" w:gutter="0"/>
          <w:cols w:space="720"/>
          <w:bidi/>
          <w:rtlGutter/>
          <w:docGrid w:linePitch="360"/>
        </w:sectPr>
      </w:pPr>
    </w:p>
    <w:p ns2:paraId="67056C57" ns2:textId="77777777" w:rsidR="006A3CAC" w:rsidRPr="00FA41DA" w:rsidRDefault="006A3CAC" w:rsidP="00BB5BCD">
      <w:pPr>
        <w:spacing w:line="240" w:lineRule="atLeast"/>
        <w:ind w:left="432" w:right="720"/>
        <w:rPr>
          <w:rFonts w:cs="B Nazanin"/>
          <w:sz w:val="20"/>
          <w:szCs w:val="20"/>
        </w:rPr>
      </w:pPr>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pPr>
        <w:pStyle w:val="Heading1"/>
        <w:spacing w:before="100" w:beforeAutospacing="1" w:after="100" w:afterAutospacing="1" w:line="360" w:lineRule="auto"/>
        <w:jc w:val="lowKashida"/>
        <w:rPr>
          <w:rFonts w:cs="B Nazanin"/>
          <w:rtl/>
          <w:lang w:bidi="fa-IR"/>
        </w:rPr>
      </w:pPr>
      <w:r>
        <w:rPr>
          <w:rFonts w:cs="B Nazanin"/>
          <w:rtl/>
          <w:lang w:bidi="fa-IR"/>
        </w:rPr>
        <w:t>کلیات سند</w:t>
      </w:r>
    </w:p>
    <w:p>
      <w:pPr>
        <w:pStyle w:val="Heading2"/>
        <w:spacing w:before="100" w:beforeAutospacing="1" w:after="100" w:afterAutospacing="1" w:line="360" w:lineRule="auto"/>
        <w:jc w:val="lowKashida"/>
        <w:rPr>
          <w:rFonts w:cs="B Nazanin"/>
          <w:rtl/>
          <w:lang w:bidi="fa-IR"/>
        </w:rPr>
      </w:pPr>
      <w:r>
        <w:rPr>
          <w:rFonts w:cs="B Nazanin"/>
          <w:rtl/>
          <w:lang w:bidi="fa-IR"/>
        </w:rPr>
        <w:t>هدف</w:t>
      </w:r>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 این سند جایگزین طراحی جزئیِ پیاده‌سازی یا مستندات رابط‌های بیرونیِ هر تأمین‌کننده نیست؛ تمرکز آن روی تصمیم‌های کلان، رفتار سناریوهای کلیدی و سنجه‌هایی است که معماری را قابل داوری می‌کند.</w:t>
      </w:r>
    </w:p>
    <w:p>
      <w:pPr>
        <w:pStyle w:val="Heading2"/>
        <w:spacing w:before="100" w:beforeAutospacing="1" w:after="100" w:afterAutospacing="1" w:line="360" w:lineRule="auto"/>
        <w:jc w:val="lowKashida"/>
        <w:rPr>
          <w:rFonts w:cs="B Nazanin"/>
          <w:rtl/>
          <w:lang w:bidi="fa-IR"/>
        </w:rPr>
      </w:pPr>
      <w:r>
        <w:rPr>
          <w:rFonts w:cs="B Nazanin"/>
          <w:rtl/>
          <w:lang w:bidi="fa-IR"/>
        </w:rPr>
        <w:t>مخاطبان و نحوه استفاده</w:t>
      </w:r>
    </w:p>
    <w:p>
      <w:pPr>
        <w:spacing w:before="100" w:beforeAutospacing="1" w:after="100" w:afterAutospacing="1" w:line="360" w:lineRule="auto"/>
        <w:jc w:val="both"/>
        <w:rPr>
          <w:rFonts w:cs="B Nazanin"/>
          <w:rtl/>
          <w:lang w:bidi="fa-IR"/>
        </w:rPr>
      </w:pPr>
      <w:r>
        <w:rPr>
          <w:rFonts w:cs="B Nazanin"/>
          <w:rtl/>
          <w:lang w:bidi="fa-IR"/>
        </w:rPr>
        <w:t>این سند برای هماهنگ‌کردن نگاه تیم‌ها به معماری سامانه نوشته شده است. هدف آن این است که تصمیم‌های کلیدی، مرزبندی مسئولیت‌ها و معیارهای کیفیتی به‌صورت شفاف ثبت شوند تا در زمان توسعه، آزمون و بهره‌برداری به اختلاف‌نظرهای سلیقه‌ای تبدیل نشوند. در عمل، هر بخش از سند یک کار مشخص را پشتیبانی می‌کند: نمودارهای کلان برای درک ساختار، سناریوها برای بررسی رفتار و خطاها، و بخش‌های کیفیت برای داوری بر اساس سنجه.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3412"/>
        <w:gridCol w:w="3412"/>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مخاطب</w:t>
            </w:r>
          </w:p>
        </w:tc>
        <w:tc>
          <w:tcPr>
            <w:tcW w:w="3412" w:type="dxa"/>
            <w:vAlign w:val="center"/>
          </w:tcPr>
          <w:p>
            <w:pPr>
              <w:spacing w:before="100" w:beforeAutospacing="1" w:after="100" w:afterAutospacing="1" w:line="360" w:lineRule="auto"/>
              <w:jc w:val="center"/>
              <w:rPr>
                <w:rFonts w:cs="B Nazanin"/>
                <w:rtl/>
                <w:lang w:bidi="fa-IR"/>
              </w:rPr>
            </w:pPr>
            <w:r>
              <w:rPr>
                <w:rFonts w:cs="B Nazanin"/>
                <w:b/>
                <w:bCs/>
                <w:rtl/>
                <w:lang w:bidi="fa-IR"/>
              </w:rPr>
              <w:t>چیزی که از سند انتظار دارد</w:t>
            </w:r>
          </w:p>
        </w:tc>
        <w:tc>
          <w:tcPr>
            <w:tcW w:w="3412" w:type="dxa"/>
            <w:vAlign w:val="center"/>
          </w:tcPr>
          <w:p>
            <w:pPr>
              <w:spacing w:before="100" w:beforeAutospacing="1" w:after="100" w:afterAutospacing="1" w:line="360" w:lineRule="auto"/>
              <w:jc w:val="center"/>
              <w:rPr>
                <w:rFonts w:cs="B Nazanin"/>
                <w:rtl/>
                <w:lang w:bidi="fa-IR"/>
              </w:rPr>
            </w:pPr>
            <w:r>
              <w:rPr>
                <w:rFonts w:cs="B Nazanin"/>
                <w:b/>
                <w:bCs/>
                <w:rtl/>
                <w:lang w:bidi="fa-IR"/>
              </w:rPr>
              <w:t>بخش‌های کلیدی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تیم فنی</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تصمیم‌های معماری، مرزبندی دامنه‌ها، قراردادهای بیرونی</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نمایش معماری، دید منطقی، دید توسعه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تیم آزمون</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سناریوهای قابل آزمون، جریان‌های خطا و معیارهای پذیرش</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دید سناریوها، کیفیت، کارایی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تیم عملیات</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الگوی استقرار، پایش، بازیابی و مدیریت رخداد</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دید فیزیکی، بهره‌برداری و عملیات</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کسب‌وکار</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حدود قابلیت‌ها، ریسک‌ها و پیامدهای تصمیم‌ها</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کلیات سند، اهداف و محدودیت‌ها</w:t>
            </w:r>
          </w:p>
        </w:tc>
      </w:tr>
    </w:tbl>
    <w:p>
      <w:pPr>
        <w:pStyle w:val="Heading2"/>
        <w:spacing w:before="100" w:beforeAutospacing="1" w:after="100" w:afterAutospacing="1" w:line="360" w:lineRule="auto"/>
        <w:jc w:val="lowKashida"/>
        <w:rPr>
          <w:rFonts w:cs="B Nazanin"/>
          <w:rtl/>
          <w:lang w:bidi="fa-IR"/>
        </w:rPr>
      </w:pPr>
      <w:r>
        <w:rPr>
          <w:rFonts w:cs="B Nazanin"/>
          <w:rtl/>
          <w:lang w:bidi="fa-IR"/>
        </w:rPr>
        <w:t>فرض‌ها و پیش‌فرض‌ها</w:t>
      </w:r>
    </w:p>
    <w:p>
      <w:pPr>
        <w:spacing w:before="100" w:beforeAutospacing="1" w:after="100" w:afterAutospacing="1" w:line="360" w:lineRule="auto"/>
        <w:jc w:val="both"/>
        <w:rPr>
          <w:rFonts w:cs="B Nazanin"/>
          <w:rtl/>
          <w:lang w:bidi="fa-IR"/>
        </w:rPr>
      </w:pPr>
      <w:r>
        <w:rPr>
          <w:rFonts w:cs="B Nazanin"/>
          <w:rtl/>
          <w:lang w:bidi="fa-IR"/>
        </w:rPr>
        <w:t>برای اینکه تصمیم‌های معماری قابل داوری باشد، چند فرض پایه در نظر گرفته شده است. اگر هر کدام از این فرض‌ها تغییر کند، لازم است بخش‌های مربوط بازنگری شود تا تناقض ایجاد نشود.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1218"/>
        <w:gridCol w:w="2438"/>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فرض</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اثر روی معماری</w:t>
            </w:r>
          </w:p>
        </w:tc>
        <w:tc>
          <w:tcPr>
            <w:tcW w:w="1218" w:type="dxa"/>
            <w:vAlign w:val="center"/>
          </w:tcPr>
          <w:p>
            <w:pPr>
              <w:spacing w:before="100" w:beforeAutospacing="1" w:after="100" w:afterAutospacing="1" w:line="360" w:lineRule="auto"/>
              <w:jc w:val="center"/>
              <w:rPr>
                <w:rFonts w:cs="B Nazanin"/>
                <w:rtl/>
                <w:lang w:bidi="fa-IR"/>
              </w:rPr>
            </w:pPr>
            <w:r>
              <w:rPr>
                <w:rFonts w:cs="B Nazanin"/>
                <w:b/>
                <w:bCs/>
                <w:rtl/>
                <w:lang w:bidi="fa-IR"/>
              </w:rPr>
              <w:t>نشانه پایش</w:t>
            </w:r>
          </w:p>
        </w:tc>
        <w:tc>
          <w:tcPr>
            <w:tcW w:w="2438" w:type="dxa"/>
            <w:vAlign w:val="center"/>
          </w:tcPr>
          <w:p>
            <w:pPr>
              <w:spacing w:before="100" w:beforeAutospacing="1" w:after="100" w:afterAutospacing="1" w:line="360" w:lineRule="auto"/>
              <w:jc w:val="center"/>
              <w:rPr>
                <w:rFonts w:cs="B Nazanin"/>
                <w:rtl/>
                <w:lang w:bidi="fa-IR"/>
              </w:rPr>
            </w:pPr>
            <w:r>
              <w:rPr>
                <w:rFonts w:cs="B Nazanin"/>
                <w:b/>
                <w:bCs/>
                <w:rtl/>
                <w:lang w:bidi="fa-IR"/>
              </w:rPr>
              <w:t>اگر فرض نقض شود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پاسخ تأمین‌کنندگان ناهمگون و گاهی ناپایدار است.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کنترل مهلت زمانی، کاهش سطح خدمت و تلاش‌مجدد کنترل‌شده ضروری است.</w:t>
            </w:r>
          </w:p>
        </w:tc>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افزایش نرخ خطا یا زمان پاسخ به تفکیک تأمین‌کننده</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ترکیب نتایج و تجربه کاربر باید بازطراحی شود (مثلاً نمایش تدریجی یا محدودسازی تأمین‌کننده).</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 قابل تکرار است و ممکن است چند بار ارسال شود.</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و راستی‌آزمایی پرداخت الزامی است.</w:t>
            </w:r>
          </w:p>
        </w:tc>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افزایش شمار بازگشت‌های تکراری یا اختلاف وضعیت پرداخت</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ریسک صدور تکراری/ثبت تکراری بالا می‌رود و کنترل‌های مالی باید سخت‌گیرانه‌تر شود.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APIها به‌صورت عمومی در معرض اینترنت هستند.</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محدودیت نرخ، احراز هویت و ثبت ممیزی باید از ابتدا اعمال شود.</w:t>
            </w:r>
          </w:p>
        </w:tc>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افزایش درخواست‌های غیرعادی یا خطاهای احراز هویت</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در صورت نبود این کنترل‌ها، احتمال سوءاستفاده و اختلال بالا می‌رود.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در فاز نخست، استقرار به‌صورت تک‌استقرار ماژولار انجام می‌شود.</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سادگی عملیات و سرعت توسعه اولویت دارد، با حفظ مرزبندی دامنه‌ها.</w:t>
            </w:r>
          </w:p>
        </w:tc>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افزایش نیاز به استقرار مستقل یا رشد تیم/بار</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اگر نیاز به استقرار مستقل زودتر ایجاد شود، مرزبندی دامنه‌ها باید عملی‌تر و رابط‌ها دقیق‌تر شوند.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محدوده</w:t>
      </w:r>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و درگاه بانکی است. همچنین اگر برای پشتیبانی از یک سامانه بیرونی (مثل مرکز تماس یا سامانه تیکتینگ) استفاده شود، پیاده‌سازی آن نیز خارج از محدوده است. این سرویس‌های بیرونی در معماری از منظر قرارداد تبادل داده، مدیریت خطا، مهلت زمانی پاسخ و امنیت ارتباطات تحلیل می‌شوند. زیرساخت پیامک/ایمیل هم به‌عنوان سرویس بیرونی در نظر گرفته می‌شود.</w:t>
      </w:r>
    </w:p>
    <w:p>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اصطلاح</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تعریف</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تراکنش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نمایش نتیجه ناقص/کنترل‌شده در صورت کندی یا قطع سرویس بیرونی، بدون از کار افتادن کل تجربه کاربر.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بازه زمانی حداکثر برای انتظار پاسخ از سرویس بیرونی؛ پس از آن، مسیر خطا/کاهش سطح خدمت فعال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کنترل‌شده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تلاش دوباره برای خطاهای موقت با تعداد محدود و فاصله زمانی مناسب، بدون ایجاد بار اضافی یا تکرار ناخواسته.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نیازمند بررسی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وضعیتی که نشان می‌دهد سامانه برای ادامه مسیر، به بررسی انسانی/پشتیبانی یا داده تکمیلی نیاز دارد.</w:t>
            </w:r>
          </w:p>
        </w:tc>
      </w:tr>
    </w:tbl>
    <w:p>
      <w:pPr>
        <w:spacing w:before="100" w:beforeAutospacing="1" w:after="100" w:afterAutospacing="1" w:line="360" w:lineRule="auto"/>
        <w:jc w:val="lowKashida"/>
        <w:rPr>
          <w:rFonts w:cs="B Nazanin"/>
          <w:rtl/>
          <w:lang w:bidi="fa-IR"/>
        </w:rPr>
      </w:pPr>
      <w:r>
        <w:rPr>
          <w:rFonts w:cs="B Nazanin"/>
          <w:rtl/>
          <w:lang w:bidi="fa-IR"/>
        </w:rPr>
        <w:t>ذی‌نفعان و نیازهای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ذی‌نفع</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نیاز/انتظار</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پشتیبانی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دسترسی به وضعیت سفارش/پرداخت، ابزار پیگیری، ثبت وقایع و ممیزی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فنی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کسب‌وکار</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p>
    <w:p>
      <w:pPr>
        <w:pStyle w:val="Heading2"/>
        <w:spacing w:before="100" w:beforeAutospacing="1" w:after="100" w:afterAutospacing="1" w:line="360" w:lineRule="auto"/>
        <w:jc w:val="lowKashida"/>
        <w:rPr>
          <w:rFonts w:cs="B Nazanin"/>
          <w:rtl/>
          <w:lang w:bidi="fa-IR"/>
        </w:rPr>
      </w:pPr>
      <w:r>
        <w:rPr>
          <w:rFonts w:cs="B Nazanin"/>
          <w:rtl/>
          <w:lang w:bidi="fa-IR"/>
        </w:rPr>
        <w:t>سبک معماری (انتخاب‌شده)</w:t>
      </w:r>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5024"/>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403502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67797"/>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62677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298248"/>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4298248"/>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p>
    <w:p>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ویژگی کیفی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معیار ارزیابی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راهکار معماری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۳ ثانیه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صفحه‌بندی، زمان‌سنجی برای تأمین‌کنندگان</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دسترس‌پذیری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تعداد رخداد قطعی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۱ بار در هفته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تلاش مجدد کنترل‌شده، قطع‌کننده مدار سبک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توان عملیاتی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 افقی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API بدون حالت + حافظه نهان + پایگاه داده مشترک (در فاز نخست)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امنیت</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رخداد نفوذ/تقلب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حداقل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 امضا/توکن بازگشت بانک، ثبت وقایع ممیزی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نگهداشت‌پذیری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سریع و کم‌ریسک</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مبدل/روش کارخانه + آزمون قرارداد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مشاهده‌پذیری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قابلیت ردیابی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کامل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ردیابی/شناسه همبستگی در خرید/پرداخت</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محدودیت‌ها</w:t>
      </w:r>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معیارهای سنجش این سند چنین است: زمان پاسخ جست‌وجو (صدک ۹۵) کمتر از ۳ ثانیه، نرخ خطای بازگشت بانک کمتر از ۱ درصد، و ثبت رویدادهای کلیدی خرید، پرداخت و صدور برای هر سفارش.</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سنجه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منبع داده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نقطه اندازه‌گیری</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گزارش/داشبورد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زمان پاسخ جست‌وجو (صدک ۹۵)</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لاگ درخواست و زمان‌بندی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API جست‌وجو و یکپارچه‌سازی تأمین‌کنندگان</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گزارش روزانه به تفکیک تأمین‌کننده و مسیر درخواست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نرخ خطای بازگشت بانک</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لاگ پرداخت و نتیجه راستی‌آزمایی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مسیر بازگشت و راستی‌آزمایی پرداخت</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هشدار در صورت عبور از آستانه و گزارش هفتگی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نرخ خطای صدور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لاگ صدور و پاسخ تأمین‌کننده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صدور</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گزارش وضعیت صدور به تفکیک تأمین‌کننده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تعداد سفارش‌های نیازمند بررسی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وضعیت سفارش و رویدادهای ممیزی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دامنه سفارش/پرداخت</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نمای عملیاتی برای پشتیبانی و عملیات</w:t>
            </w:r>
          </w:p>
        </w:tc>
      </w:tr>
    </w:tbl>
    <w:p>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 (خلاصه)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تصمیم</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پیامد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امکان گذار به ریزخدمت با مرزبندی دامنه</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سناریوهای جبرانی و تلاش‌مجدد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کاهش ریسک تغییرات با هزینه توسعه مبدل</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برای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زمان اعتبار و سیاست بی‌اعتبارسازی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ذخیره و کنترل کلیدها در پایگاه داده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گزینه‌های بررسی‌شده و ردشده</w:t>
      </w:r>
    </w:p>
    <w:p>
      <w:pPr>
        <w:spacing w:before="100" w:beforeAutospacing="1" w:after="100" w:afterAutospacing="1" w:line="360" w:lineRule="auto"/>
        <w:jc w:val="both"/>
        <w:rPr>
          <w:rFonts w:cs="B Nazanin"/>
          <w:rtl/>
          <w:lang w:bidi="fa-IR"/>
        </w:rPr>
      </w:pPr>
      <w:r>
        <w:rPr>
          <w:rFonts w:cs="B Nazanin"/>
          <w:rtl/>
          <w:lang w:bidi="fa-IR"/>
        </w:rPr>
        <w:t>در چند نقطه کلیدی، بیش از یک گزینه قابل اجرا وجود داشت. در این بخش، گزینه‌های رایج و دلیل رد شدن آن‌ها به‌طور خلاصه ثبت می‌شود تا در آینده، همان بحث‌ها تکرار نشود و اگر شرایط تغییر کرد، بازنگری هدفمند باشد.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218"/>
        <w:gridCol w:w="2437"/>
        <w:gridCol w:w="2437"/>
        <w:gridCol w:w="2438"/>
      </w:tblGrid>
      <w:tr>
        <w:tc>
          <w:tcPr>
            <w:tcW w:w="1218"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گزینه ردشده</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 رد شدن</w:t>
            </w:r>
          </w:p>
        </w:tc>
        <w:tc>
          <w:tcPr>
            <w:tcW w:w="2438" w:type="dxa"/>
            <w:vAlign w:val="center"/>
          </w:tcPr>
          <w:p>
            <w:pPr>
              <w:spacing w:before="100" w:beforeAutospacing="1" w:after="100" w:afterAutospacing="1" w:line="360" w:lineRule="auto"/>
              <w:jc w:val="center"/>
              <w:rPr>
                <w:rFonts w:cs="B Nazanin"/>
                <w:rtl/>
                <w:lang w:bidi="fa-IR"/>
              </w:rPr>
            </w:pPr>
            <w:r>
              <w:rPr>
                <w:rFonts w:cs="B Nazanin"/>
                <w:b/>
                <w:bCs/>
                <w:rtl/>
                <w:lang w:bidi="fa-IR"/>
              </w:rPr>
              <w:t>یادداشت</w:t>
            </w: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پرداخت/صدور</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تراکنش توزیع‌شده سراسری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پیچیدگی عملیاتی و ریسک شکست بالا در وابستگی‌های بیرونی</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به‌جای آن از فرایند مرحله‌ای و جبران استفاده شده است.</w:t>
            </w: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تأمین‌کننده</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اتصال مستقیم بدون مبدل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تغییرپذیری زیاد قراردادها و سخت شدن نگهداشت</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مبدل‌ها هزینه توسعه دارند ولی ریسک تغییرات را کنترل می‌کنند.</w:t>
            </w: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کارایی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عدم استفاده از حافظه نهان</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افزایش هزینه تماس بیرونی و افت تجربه کاربر</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زمان اعتبار کوتاه و بی‌اعتبارسازی کنترل‌شده در نظر گرفته شده است.</w:t>
            </w: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استقرار</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ریزخدمت از روز اول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هزینه عملیاتی و پیچیدگی هماهنگی بالا برای تیم کوچک</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مرزبندی دامنه‌ها حفظ شده تا گذار تدریجی امکان‌پذیر باشد.</w:t>
            </w:r>
          </w:p>
        </w:tc>
      </w:tr>
    </w:tbl>
    <w:p>
      <w:pPr>
        <w:pStyle w:val="Heading2"/>
        <w:spacing w:before="100" w:beforeAutospacing="1" w:after="100" w:afterAutospacing="1" w:line="360" w:lineRule="auto"/>
        <w:jc w:val="lowKashida"/>
        <w:rPr>
          <w:rFonts w:cs="B Nazanin"/>
          <w:rtl/>
          <w:lang w:bidi="fa-IR"/>
        </w:rPr>
      </w:pPr>
      <w:r>
        <w:rPr>
          <w:rFonts w:cs="B Nazanin"/>
          <w:rtl/>
          <w:lang w:bidi="fa-IR"/>
        </w:rPr>
        <w:t>ریسک‌های معماری و برنامه کنترل</w:t>
      </w:r>
    </w:p>
    <w:p>
      <w:pPr>
        <w:spacing w:before="100" w:beforeAutospacing="1" w:after="100" w:afterAutospacing="1" w:line="360" w:lineRule="auto"/>
        <w:jc w:val="both"/>
        <w:rPr>
          <w:rFonts w:cs="B Nazanin"/>
          <w:rtl/>
          <w:lang w:bidi="fa-IR"/>
        </w:rPr>
      </w:pPr>
      <w:r>
        <w:rPr>
          <w:rFonts w:cs="B Nazanin"/>
          <w:rtl/>
          <w:lang w:bidi="fa-IR"/>
        </w:rPr>
        <w:t>ریسک‌های اصلی این سامانه بیشتر از جنس وابستگی به سرویس‌های بیرونی و خطاهای مالی است. در جدول زیر، ریسک‌های مهم، پیامدها و کنترل‌ها فهرست شده است تا در آزمون و عملیات به‌صورت فعال پیگیری شوند.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ریسک</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پیامد</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کنترل/کاهش</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نشانه‌های پایش</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کندی/قطع تأمین‌کننده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افت تجربه کاربر و کاهش نرخ تبدیل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کاهش سطح خدمت، تلاش‌مجدد کنترل‌شده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افزایش زمان پاسخ یا نرخ خطا به تفکیک تأمین‌کننده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بازگشت تکراری بانک</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پرداخت/صدور تکراری و زیان مالی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 راستی‌آزمایی پرداخت</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تعداد بازگشت‌های تکراری و اختلاف وضعیت پرداخت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 پس از پرداخت موفق</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نارضایتی کاربر و بار پشتیبانی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ثبت وضعیت نیازمند بررسی، تلاش‌مجدد کنترل‌شده، اطلاع‌رسانی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افزایش سفارش‌های پرداخت تأیید شد اما صدور ناموفق</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افشای داده حساس</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ریسک حقوقی و از دست رفتن اعتماد</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حداقل‌سازی داده، رمزنگاری ستون‌های حساس، ممیزی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رخدادهای دسترسی نامعمول و خطاهای احراز هویت</w:t>
            </w:r>
          </w:p>
        </w:tc>
      </w:tr>
    </w:tbl>
    <w:p>
      <w:pPr>
        <w:pStyle w:val="Heading2"/>
        <w:spacing w:before="100" w:beforeAutospacing="1" w:after="100" w:afterAutospacing="1" w:line="360" w:lineRule="auto"/>
        <w:jc w:val="lowKashida"/>
        <w:rPr>
          <w:rFonts w:cs="B Nazanin"/>
          <w:rtl/>
          <w:lang w:bidi="fa-IR"/>
        </w:rPr>
      </w:pPr>
      <w:r>
        <w:rPr>
          <w:rFonts w:cs="B Nazanin"/>
          <w:rtl/>
          <w:lang w:bidi="fa-IR"/>
        </w:rPr>
        <w:t>ردیابی‌پذیری تصمیم‌ها</w:t>
      </w:r>
    </w:p>
    <w:p>
      <w:pPr>
        <w:spacing w:before="100" w:beforeAutospacing="1" w:after="100" w:afterAutospacing="1" w:line="360" w:lineRule="auto"/>
        <w:jc w:val="both"/>
        <w:rPr>
          <w:rFonts w:cs="B Nazanin"/>
          <w:rtl/>
          <w:lang w:bidi="fa-IR"/>
        </w:rPr>
      </w:pPr>
      <w:r>
        <w:rPr>
          <w:rFonts w:cs="B Nazanin"/>
          <w:rtl/>
          <w:lang w:bidi="fa-IR"/>
        </w:rPr>
        <w:t>برای اینکه بتوان تصمیم‌ها را از روی سناریوها و سنجه‌ها پیگیری کرد، چند ارجاع اصلی در نظر گرفته شده است. به‌عنوان نمونه، تصمیم کلید یکتایی عملیات در سناریوی خرید و در بخش امنیت و عملیات تکرار شده تا اجرای آن قابل پیگیری باشد.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جایی که توضیح داده شده</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جایی که آزمون/سنجش می‌شود</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تصمیم‌های معماری، امنیت، دید سناریوها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گزارش بازگشت تکراری بانک و آزمون سناریوهای B3</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محدودیت‌ها، دید سناریوها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گزارش نرخ حذف تأمین‌کننده و زمان پاسخ</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تصمیم‌های معماری، کارایی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سنجش زمان پاسخ و نرخ Cache Hit</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p>
    <w:p>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424714"/>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542471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 (جامع).</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521410"/>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252141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UC-01 (Cache Hit).</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174567"/>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517456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UC-01 (Cache Miss + چند تأمین‌کننده + کنترل خطا).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809248"/>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6809248"/>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فعالیت UC-01 (اعتبارسنجی، Cache، کاهش سطح خدمت، صفحه‌بندی).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951640"/>
            <wp:effectExtent l="0" t="0" r="0" b="0"/>
            <wp:wrapSquare wrapText="largest"/>
            <wp:docPr id="1007" name="image-fig-4-5.png" descr=""/>
            <wp:cNvGraphicFramePr>
              <a:graphicFrameLocks noChangeAspect="1"/>
            </wp:cNvGraphicFramePr>
            <a:graphic>
              <a:graphicData uri="http://schemas.openxmlformats.org/drawingml/2006/picture">
                <pic:pic>
                  <pic:nvPicPr>
                    <pic:cNvPr id="1007" name="image-fig-4-5.png" descr=""/>
                    <pic:cNvPicPr>
                      <a:picLocks noChangeAspect="1" noChangeArrowheads="1"/>
                    </pic:cNvPicPr>
                  </pic:nvPicPr>
                  <pic:blipFill>
                    <a:blip r:embed="rId20" cstate="print"/>
                    <a:stretch>
                      <a:fillRect/>
                    </a:stretch>
                  </pic:blipFill>
                  <pic:spPr bwMode="auto">
                    <a:xfrm>
                      <a:off x="0" y="0"/>
                      <a:ext cx="5943600" cy="395164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۴-۵: نمودار توالی UC-02 (شروع خرید تا شروع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35442"/>
            <wp:effectExtent l="0" t="0" r="0" b="0"/>
            <wp:wrapSquare wrapText="largest"/>
            <wp:docPr id="1008" name="image-fig-4-6.png" descr=""/>
            <wp:cNvGraphicFramePr>
              <a:graphicFrameLocks noChangeAspect="1"/>
            </wp:cNvGraphicFramePr>
            <a:graphic>
              <a:graphicData uri="http://schemas.openxmlformats.org/drawingml/2006/picture">
                <pic:pic>
                  <pic:nvPicPr>
                    <pic:cNvPr id="1008" name="image-fig-4-6.png" descr=""/>
                    <pic:cNvPicPr>
                      <a:picLocks noChangeAspect="1" noChangeArrowheads="1"/>
                    </pic:cNvPicPr>
                  </pic:nvPicPr>
                  <pic:blipFill>
                    <a:blip r:embed="rId21" cstate="print"/>
                    <a:stretch>
                      <a:fillRect/>
                    </a:stretch>
                  </pic:blipFill>
                  <pic:spPr bwMode="auto">
                    <a:xfrm>
                      <a:off x="0" y="0"/>
                      <a:ext cx="5943600" cy="623544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۴-۶: نمودار توالی UC-02 (بازگشت بانک و راستی‌آزمایی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829402"/>
            <wp:effectExtent l="0" t="0" r="0" b="0"/>
            <wp:wrapSquare wrapText="largest"/>
            <wp:docPr id="1009" name="image-fig-4-7.png" descr=""/>
            <wp:cNvGraphicFramePr>
              <a:graphicFrameLocks noChangeAspect="1"/>
            </wp:cNvGraphicFramePr>
            <a:graphic>
              <a:graphicData uri="http://schemas.openxmlformats.org/drawingml/2006/picture">
                <pic:pic>
                  <pic:nvPicPr>
                    <pic:cNvPr id="1009" name="image-fig-4-7.png" descr=""/>
                    <pic:cNvPicPr>
                      <a:picLocks noChangeAspect="1" noChangeArrowheads="1"/>
                    </pic:cNvPicPr>
                  </pic:nvPicPr>
                  <pic:blipFill>
                    <a:blip r:embed="rId22" cstate="print"/>
                    <a:stretch>
                      <a:fillRect/>
                    </a:stretch>
                  </pic:blipFill>
                  <pic:spPr bwMode="auto">
                    <a:xfrm>
                      <a:off x="0" y="0"/>
                      <a:ext cx="5943600" cy="382940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۴-۷: نمودار توالی UC-02 (صدور، اعلان و مسیر جبرانی).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599" cy="5569485"/>
            <wp:effectExtent l="0" t="0" r="0" b="0"/>
            <wp:wrapSquare wrapText="largest"/>
            <wp:docPr id="1010" name="image-fig-4-8.png" descr=""/>
            <wp:cNvGraphicFramePr>
              <a:graphicFrameLocks noChangeAspect="1"/>
            </wp:cNvGraphicFramePr>
            <a:graphic>
              <a:graphicData uri="http://schemas.openxmlformats.org/drawingml/2006/picture">
                <pic:pic>
                  <pic:nvPicPr>
                    <pic:cNvPr id="1010" name="image-fig-4-8.png" descr=""/>
                    <pic:cNvPicPr>
                      <a:picLocks noChangeAspect="1" noChangeArrowheads="1"/>
                    </pic:cNvPicPr>
                  </pic:nvPicPr>
                  <pic:blipFill>
                    <a:blip r:embed="rId23" cstate="print"/>
                    <a:stretch>
                      <a:fillRect/>
                    </a:stretch>
                  </pic:blipFill>
                  <pic:spPr bwMode="auto">
                    <a:xfrm>
                      <a:off x="0" y="0"/>
                      <a:ext cx="5943599" cy="556948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۴-۸: نمودار فعالیت UC-02 (با مسیرهای استثنا).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7078359"/>
            <wp:effectExtent l="0" t="0" r="0" b="0"/>
            <wp:wrapSquare wrapText="largest"/>
            <wp:docPr id="1011" name="image-fig-4-9.png" descr=""/>
            <wp:cNvGraphicFramePr>
              <a:graphicFrameLocks noChangeAspect="1"/>
            </wp:cNvGraphicFramePr>
            <a:graphic>
              <a:graphicData uri="http://schemas.openxmlformats.org/drawingml/2006/picture">
                <pic:pic>
                  <pic:nvPicPr>
                    <pic:cNvPr id="1011" name="image-fig-4-9.png" descr=""/>
                    <pic:cNvPicPr>
                      <a:picLocks noChangeAspect="1" noChangeArrowheads="1"/>
                    </pic:cNvPicPr>
                  </pic:nvPicPr>
                  <pic:blipFill>
                    <a:blip r:embed="rId24" cstate="print"/>
                    <a:stretch>
                      <a:fillRect/>
                    </a:stretch>
                  </pic:blipFill>
                  <pic:spPr bwMode="auto">
                    <a:xfrm>
                      <a:off x="0" y="0"/>
                      <a:ext cx="5943600" cy="7078359"/>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۴-۹: نمودار حالت سفارش (چرخه عمر سفارش از ایجاد تا پرداخت و صدور).</w:t>
      </w:r>
    </w:p>
    <w:p>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مولفه</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پیش‌شرط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پس‌شرط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 اصلی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گام‌های متوالی در حالت موفق از نگاه کاربر و سامانه.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جریان‌های جایگزین/خطا</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قواعد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100" w:beforeAutospacing="1" w:after="100" w:afterAutospacing="1" w:line="360" w:lineRule="auto"/>
        <w:jc w:val="lowKashida"/>
        <w:rPr>
          <w:rFonts w:cs="B Nazanin"/>
          <w:rtl/>
          <w:lang w:bidi="fa-IR"/>
        </w:rPr>
      </w:pPr>
      <w:r>
        <w:rPr>
          <w:rFonts w:cs="B Nazanin"/>
          <w:rtl/>
          <w:lang w:bidi="fa-IR"/>
        </w:rPr>
        <w:t>فهرست موارد کاربری سطح سیستم</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دسته‌بندی</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کنشگر</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موردکاربری کلان</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UC-01</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خدمات سفر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جست‌وجو/فیلتر/مرتب‌سازی گزینه‌ها</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UC-02</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خرید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پرداخت و صدور</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UC-03</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استرداد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لغو و بازگشت وجه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UC-04</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تور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UC-05</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اقامتگاه/هتل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UC-06</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بیمه مسافرتی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محاسبه، پرداخت و صدور بیمه‌نامه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UC-07</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درخواست/پیگیری ویزا</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درخواست، پرداخت و پیگیری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UC-08</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پرداخت و تراکنش</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UC-09</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UC-10</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نظر/امتیاز</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امتیاز پس از خرید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موردکاربری ۱: UC-01 جست‌وجوی خدمات سفر</w:t>
      </w:r>
    </w:p>
    <w:p>
      <w:pPr>
        <w:spacing w:before="100" w:beforeAutospacing="1" w:after="100" w:afterAutospacing="1" w:line="360" w:lineRule="auto"/>
        <w:jc w:val="both"/>
        <w:rPr>
          <w:rFonts w:cs="B Nazanin"/>
          <w:rtl/>
          <w:lang w:bidi="fa-IR"/>
        </w:rPr>
      </w:pPr>
      <w:r>
        <w:rPr>
          <w:rFonts w:cs="B Nazanin"/>
          <w:rtl/>
          <w:lang w:bidi="fa-IR"/>
        </w:rPr>
        <w:t>این موردکاربری جریان جست‌وجوی خدمات سفر را پوشش می‌دهد؛ کاربر معیارهای سفر را وارد می‌کند و سامانه، نتیجه چند تأمین‌کننده را دریافت و به‌صورت یکپارچه نمایش می‌دهد.</w:t>
      </w:r>
    </w:p>
    <w:p>
      <w:pPr>
        <w:spacing w:before="200" w:beforeAutospacing="1" w:after="80" w:afterAutospacing="1" w:line="360" w:lineRule="auto"/>
        <w:keepNext/>
        <w:jc w:val="lowKashida"/>
        <w:rPr>
          <w:rFonts w:cs="B Nazanin"/>
          <w:rtl/>
          <w:lang w:bidi="fa-IR"/>
        </w:rPr>
      </w:pPr>
      <w:r>
        <w:rPr>
          <w:rFonts w:cs="B Nazanin"/>
          <w:b/>
          <w:bCs/>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معیارهای جست‌وجو و مشاهده نتایج</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ارائه گزینه‌های سفر از طریق API</w:t>
            </w:r>
          </w:p>
        </w:tc>
      </w:tr>
    </w:tbl>
    <w:p>
      <w:pPr>
        <w:spacing w:before="200" w:beforeAutospacing="1" w:after="80" w:afterAutospacing="1" w:line="360" w:lineRule="auto"/>
        <w:keepNext/>
        <w:jc w:val="lowKashida"/>
        <w:rPr>
          <w:rFonts w:cs="B Nazanin"/>
          <w:rtl/>
          <w:lang w:bidi="fa-IR"/>
        </w:rPr>
      </w:pPr>
      <w:r>
        <w:rPr>
          <w:rFonts w:cs="B Nazanin"/>
          <w:b/>
          <w:bCs/>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200" w:beforeAutospacing="1" w:after="80" w:afterAutospacing="1" w:line="360" w:lineRule="auto"/>
        <w:keepNext/>
        <w:jc w:val="lowKashida"/>
        <w:rPr>
          <w:rFonts w:cs="B Nazanin"/>
          <w:rtl/>
          <w:lang w:bidi="fa-IR"/>
        </w:rPr>
      </w:pPr>
      <w:r>
        <w:rPr>
          <w:rFonts w:cs="B Nazanin"/>
          <w:b/>
          <w:bCs/>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200" w:beforeAutospacing="1" w:after="80" w:afterAutospacing="1" w:line="360" w:lineRule="auto"/>
        <w:keepNext/>
        <w:jc w:val="lowKashida"/>
        <w:rPr>
          <w:rFonts w:cs="B Nazanin"/>
          <w:rtl/>
          <w:lang w:bidi="fa-IR"/>
        </w:rPr>
      </w:pPr>
      <w:r>
        <w:rPr>
          <w:rFonts w:cs="B Nazanin"/>
          <w:b/>
          <w:bCs/>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ورودی نامعتبر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100" w:beforeAutospacing="1" w:after="100" w:afterAutospacing="1" w:line="360" w:lineRule="auto"/>
        <w:jc w:val="lowKashida"/>
        <w:rPr>
          <w:rFonts w:cs="B Nazanin"/>
          <w:rtl/>
          <w:lang w:bidi="fa-IR"/>
        </w:rPr>
      </w:pPr>
      <w:r>
        <w:rPr>
          <w:rFonts w:cs="B Nazanin"/>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برای هر جست‌وجو، زمان شروع و پایان، نام تأمین‌کننده و نتیجه (موفق/ناموفق) ثبت می‌شود. همچنین نرخ خطای هر تأمین‌کننده به‌صورت دوره‌ای گزارش می‌شود تا تصمیم‌های عملیاتی (مثل محدودسازی یا قطع موقت) قابل انجام باشد.</w:t>
      </w:r>
    </w:p>
    <w:p>
      <w:pPr>
        <w:pStyle w:val="Heading2"/>
        <w:spacing w:before="100" w:beforeAutospacing="1" w:after="100" w:afterAutospacing="1" w:line="360" w:lineRule="auto"/>
        <w:jc w:val="lowKashida"/>
        <w:rPr>
          <w:rFonts w:cs="B Nazanin"/>
          <w:rtl/>
          <w:lang w:bidi="fa-IR"/>
        </w:rPr>
      </w:pPr>
      <w:r>
        <w:rPr>
          <w:rFonts w:cs="B Nazanin"/>
          <w:rtl/>
          <w:lang w:bidi="fa-IR"/>
        </w:rPr>
        <w:t>موردکاربری ۲: UC-02 خرید بلیت</w:t>
      </w:r>
    </w:p>
    <w:p>
      <w:pPr>
        <w:spacing w:before="100" w:beforeAutospacing="1" w:after="100" w:afterAutospacing="1" w:line="360" w:lineRule="auto"/>
        <w:jc w:val="both"/>
        <w:rPr>
          <w:rFonts w:cs="B Nazanin"/>
          <w:rtl/>
          <w:lang w:bidi="fa-IR"/>
        </w:rPr>
      </w:pPr>
      <w:r>
        <w:rPr>
          <w:rFonts w:cs="B Nazanin"/>
          <w:rtl/>
          <w:lang w:bidi="fa-IR"/>
        </w:rPr>
        <w:t>این موردکاربری جریان خرید بلیت را پوشش می‌دهد و چند گام وابسته (بازبینی ظرفیت و قیمت، پرداخت، بازگشت بانک، راستی‌آزمایی و صدور) و مدیریت خطاهای حساس را شامل می‌شود.</w:t>
      </w:r>
    </w:p>
    <w:p>
      <w:pPr>
        <w:spacing w:before="200" w:beforeAutospacing="1" w:after="80" w:afterAutospacing="1" w:line="360" w:lineRule="auto"/>
        <w:keepNext/>
        <w:jc w:val="lowKashida"/>
        <w:rPr>
          <w:rFonts w:cs="B Nazanin"/>
          <w:rtl/>
          <w:lang w:bidi="fa-IR"/>
        </w:rPr>
      </w:pPr>
      <w:r>
        <w:rPr>
          <w:rFonts w:cs="B Nazanin"/>
          <w:b/>
          <w:bCs/>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انتخاب گزینه سفر، ورود اطلاعات مسافر و انجام پرداخت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و صدور بلیت از طریق API</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بازگشت پرداخت و راستی‌آزمایی تراکنش</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سرویس اعلان</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تأیید خرید</w:t>
            </w:r>
          </w:p>
        </w:tc>
      </w:tr>
    </w:tbl>
    <w:p>
      <w:pPr>
        <w:spacing w:before="200" w:beforeAutospacing="1" w:after="80" w:afterAutospacing="1" w:line="360" w:lineRule="auto"/>
        <w:keepNext/>
        <w:jc w:val="lowKashida"/>
        <w:rPr>
          <w:rFonts w:cs="B Nazanin"/>
          <w:rtl/>
          <w:lang w:bidi="fa-IR"/>
        </w:rPr>
      </w:pPr>
      <w:r>
        <w:rPr>
          <w:rFonts w:cs="B Nazanin"/>
          <w:b/>
          <w:bCs/>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200" w:beforeAutospacing="1" w:after="80" w:afterAutospacing="1" w:line="360" w:lineRule="auto"/>
        <w:keepNext/>
        <w:jc w:val="lowKashida"/>
        <w:rPr>
          <w:rFonts w:cs="B Nazanin"/>
          <w:rtl/>
          <w:lang w:bidi="fa-IR"/>
        </w:rPr>
      </w:pPr>
      <w:r>
        <w:rPr>
          <w:rFonts w:cs="B Nazanin"/>
          <w:b/>
          <w:bCs/>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200" w:beforeAutospacing="1" w:after="80" w:afterAutospacing="1" w:line="360" w:lineRule="auto"/>
        <w:keepNext/>
        <w:jc w:val="lowKashida"/>
        <w:rPr>
          <w:rFonts w:cs="B Nazanin"/>
          <w:rtl/>
          <w:lang w:bidi="fa-IR"/>
        </w:rPr>
      </w:pPr>
      <w:r>
        <w:rPr>
          <w:rFonts w:cs="B Nazanin"/>
          <w:b/>
          <w:bCs/>
          <w:rtl/>
          <w:lang w:bidi="fa-IR"/>
        </w:rPr>
        <w:t>قواعد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قانون</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بازبینی قبل از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۸</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۹</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تکراری بانک</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B4</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B5</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منطقی</w:t>
      </w:r>
    </w:p>
    <w:p>
      <w:pPr>
        <w:pStyle w:val="Heading2"/>
        <w:spacing w:before="100" w:beforeAutospacing="1" w:after="100" w:afterAutospacing="1" w:line="360" w:lineRule="auto"/>
        <w:jc w:val="lowKashida"/>
        <w:rPr>
          <w:rFonts w:cs="B Nazanin"/>
          <w:rtl/>
          <w:lang w:bidi="fa-IR"/>
        </w:rPr>
      </w:pPr>
      <w:r>
        <w:rPr>
          <w:rFonts w:cs="B Nazanin"/>
          <w:rtl/>
          <w:lang w:bidi="fa-IR"/>
        </w:rPr>
        <w:t>مدل لایه‌ای</w:t>
      </w:r>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دامنه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داده‌های اصلی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هویت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ورود/ثبت‌نام/پروفایل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کاربر، نشست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 و نتایج</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کلید جست‌وجو، گزینه سفر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 و وضعیت‌ها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سفارش، مسافر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تراکنش،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بلیت/واچر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تور/اقامتگاه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رزرو تور، رزرو اقامت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موجودی و تراکنش کیف‌پول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کیف‌پول، تراکنش کیف‌پول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تیکت و پیگیری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تیکت پشتیبانی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امتیاز و بازخورد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CRC (تحلیل) - مشترک</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895"/>
        <w:gridCol w:w="3791"/>
        <w:gridCol w:w="2844"/>
      </w:tblGrid>
      <w:tr>
        <w:tc>
          <w:tcPr>
            <w:tcW w:w="1895" w:type="dxa"/>
            <w:vAlign w:val="center"/>
          </w:tcPr>
          <w:p>
            <w:pPr>
              <w:spacing w:before="100" w:beforeAutospacing="1" w:after="100" w:afterAutospacing="1" w:line="360" w:lineRule="auto"/>
              <w:jc w:val="center"/>
              <w:rPr>
                <w:rFonts w:cs="B Nazanin"/>
                <w:rtl/>
                <w:lang w:bidi="fa-IR"/>
              </w:rPr>
            </w:pPr>
            <w:r>
              <w:rPr>
                <w:rFonts w:cs="B Nazanin"/>
                <w:b/>
                <w:bCs/>
                <w:rtl/>
                <w:lang w:bidi="fa-IR"/>
              </w:rPr>
              <w:t>کلاس</w:t>
            </w:r>
          </w:p>
        </w:tc>
        <w:tc>
          <w:tcPr>
            <w:tcW w:w="3791"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مسئولیت‌ها</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همکاران</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دریافت ورودی جست‌وجو، اعتبارسنجی اولیه، مدیریت خروجی صفحه‌بندی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SearchService،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اجرای جست‌وجو، تجمیع نتایج، حذف تکراری، مرتب‌سازی/فیلتر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خرید، دریافت اطلاعات مسافر، ایجاد سفارش و نمایش وضعیت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BookingService، PaymentService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ساخت/به‌روزرسانی سفارش، مدیریت چرخه وضعیت، قواعد انقضا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BookingRepository، ProviderAdapter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PaymentService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کنترل یکتایی عملیات، راستی‌آزمایی تراکنش</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PaymentGatewayClient، TransactionRepository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IssueService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درخواست صدور و ثبت نتیجه، مدیریت تلاش‌مجدد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NotificationService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RefundService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بررسی قوانین استرداد، ثبت درخواست و مدیریت بازپرداخت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PaymentGatewayClient، WalletService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ProviderAdapter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تطبیق قرارداد هر تأمین‌کننده، نگاشت داده و مدیریت خطا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HTTPClient، ProviderMapper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NotificationService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و پیگیری خطاهای ارسال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NotifyClient، OutboxRepository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SupportService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تیکت‌های عملیاتی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SupportClient، AuditLog</w:t>
            </w:r>
          </w:p>
        </w:tc>
      </w:tr>
    </w:tbl>
    <w:p>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w:t>
      </w:r>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در طراحی سامانه از الگوهای زیر استفاده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70374"/>
            <wp:effectExtent l="0" t="0" r="0" b="0"/>
            <wp:wrapSquare wrapText="largest"/>
            <wp:docPr id="1012" name="image-fig-5-1.png" descr=""/>
            <wp:cNvGraphicFramePr>
              <a:graphicFrameLocks noChangeAspect="1"/>
            </wp:cNvGraphicFramePr>
            <a:graphic>
              <a:graphicData uri="http://schemas.openxmlformats.org/drawingml/2006/picture">
                <pic:pic>
                  <pic:nvPicPr>
                    <pic:cNvPr id="1012" name="image-fig-5-1.png" descr=""/>
                    <pic:cNvPicPr>
                      <a:picLocks noChangeAspect="1" noChangeArrowheads="1"/>
                    </pic:cNvPicPr>
                  </pic:nvPicPr>
                  <pic:blipFill>
                    <a:blip r:embed="rId25" cstate="print"/>
                    <a:stretch>
                      <a:fillRect/>
                    </a:stretch>
                  </pic:blipFill>
                  <pic:spPr bwMode="auto">
                    <a:xfrm>
                      <a:off x="0" y="0"/>
                      <a:ext cx="5943600" cy="477037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(تحلیلی) - کلاس‌های کلیدی و رابطه‌ها.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716854"/>
            <wp:effectExtent l="0" t="0" r="0" b="0"/>
            <wp:wrapSquare wrapText="largest"/>
            <wp:docPr id="1013" name="image-fig-5-2.png" descr=""/>
            <wp:cNvGraphicFramePr>
              <a:graphicFrameLocks noChangeAspect="1"/>
            </wp:cNvGraphicFramePr>
            <a:graphic>
              <a:graphicData uri="http://schemas.openxmlformats.org/drawingml/2006/picture">
                <pic:pic>
                  <pic:nvPicPr>
                    <pic:cNvPr id="1013" name="image-fig-5-2.png" descr=""/>
                    <pic:cNvPicPr>
                      <a:picLocks noChangeAspect="1" noChangeArrowheads="1"/>
                    </pic:cNvPicPr>
                  </pic:nvPicPr>
                  <pic:blipFill>
                    <a:blip r:embed="rId26" cstate="print"/>
                    <a:stretch>
                      <a:fillRect/>
                    </a:stretch>
                  </pic:blipFill>
                  <pic:spPr bwMode="auto">
                    <a:xfrm>
                      <a:off x="0" y="0"/>
                      <a:ext cx="5943600" cy="371685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۵-۲: نمودار کلاس (طراحی) - تمرکز روی رابط‌ها و عملیات.</w:t>
      </w:r>
    </w:p>
    <w:p>
      <w:pPr>
        <w:pStyle w:val="Heading1"/>
        <w:spacing w:before="100" w:beforeAutospacing="1" w:after="100" w:afterAutospacing="1" w:line="360" w:lineRule="auto"/>
        <w:jc w:val="lowKashida"/>
        <w:rPr>
          <w:rFonts w:cs="B Nazanin"/>
          <w:rtl/>
          <w:lang w:bidi="fa-IR"/>
        </w:rPr>
      </w:pPr>
      <w:r>
        <w:rPr>
          <w:rFonts w:cs="B Nazanin"/>
          <w:rtl/>
          <w:lang w:bidi="fa-IR"/>
        </w:rPr>
        <w:t>دید فرایند</w:t>
      </w:r>
    </w:p>
    <w:p>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pPr>
        <w:pStyle w:val="Heading2"/>
        <w:spacing w:before="100" w:beforeAutospacing="1" w:after="100" w:afterAutospacing="1" w:line="360" w:lineRule="auto"/>
        <w:jc w:val="lowKashida"/>
        <w:rPr>
          <w:rFonts w:cs="B Nazanin"/>
          <w:rtl/>
          <w:lang w:bidi="fa-IR"/>
        </w:rPr>
      </w:pPr>
      <w:r>
        <w:rPr>
          <w:rFonts w:cs="B Nazanin"/>
          <w:rtl/>
          <w:lang w:bidi="fa-IR"/>
        </w:rPr>
        <w:t>کارهای پس‌زمینه (اختیاری)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کار</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سیاست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۳ بار تلاش با افزایش تدریجی فاصله زمانی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پاکسازی رزروهای منقضی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آزادسازی منابع</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هر ۵ دقیقه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پایداری پیامک/ایمیل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 صف پیام‌های مرده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pPr>
        <w:pStyle w:val="Heading1"/>
        <w:spacing w:before="100" w:beforeAutospacing="1" w:after="100" w:afterAutospacing="1" w:line="360" w:lineRule="auto"/>
        <w:jc w:val="lowKashida"/>
        <w:rPr>
          <w:rFonts w:cs="B Nazanin"/>
          <w:rtl/>
          <w:lang w:bidi="fa-IR"/>
        </w:rPr>
      </w:pPr>
      <w:r>
        <w:rPr>
          <w:rFonts w:cs="B Nazanin"/>
          <w:rtl/>
          <w:lang w:bidi="fa-IR"/>
        </w:rPr>
        <w:t>دید فیزیکی (استقرار)</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858893"/>
            <wp:effectExtent l="0" t="0" r="0" b="0"/>
            <wp:wrapSquare wrapText="largest"/>
            <wp:docPr id="1014" name="image-fig-7-1.png" descr=""/>
            <wp:cNvGraphicFramePr>
              <a:graphicFrameLocks noChangeAspect="1"/>
            </wp:cNvGraphicFramePr>
            <a:graphic>
              <a:graphicData uri="http://schemas.openxmlformats.org/drawingml/2006/picture">
                <pic:pic>
                  <pic:nvPicPr>
                    <pic:cNvPr id="1014" name="image-fig-7-1.png" descr=""/>
                    <pic:cNvPicPr>
                      <a:picLocks noChangeAspect="1" noChangeArrowheads="1"/>
                    </pic:cNvPicPr>
                  </pic:nvPicPr>
                  <pic:blipFill>
                    <a:blip r:embed="rId27" cstate="print"/>
                    <a:stretch>
                      <a:fillRect/>
                    </a:stretch>
                  </pic:blipFill>
                  <pic:spPr bwMode="auto">
                    <a:xfrm>
                      <a:off x="0" y="0"/>
                      <a:ext cx="5943600" cy="485889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p>
    <w:p>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ماژول/بسته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فناوری‌ها</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وابستگی‌ها</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وب (ui-web)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React</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موبایل (ui-mobile)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Flutter</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Python (FastAPI)</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داده/حافظه نهان/یکپارچه‌سازی/کارهای پس‌زمینه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پایگاه داده (db)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ذخیره‌سازی پایدار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PostgreSQL</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(cache)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کارهای پس‌زمینه (queue)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Celery/RQ</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دامنه‌ها (domain-*)</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منطق دامنه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پایتون</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مخزن‌ها/یکپارچه‌سازی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ارتباط و تبدیل 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نگاشت داده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بررسی امضا</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تیکت/پیگیری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پیامک/ایمیل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قراردادهای API (نمای کلی)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مسیر خدمت</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GET /search</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جستجو و نتایج صفحه‌بندی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/bookings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ایجاد سفارش/شروع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/payments/callback</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 و راستی‌آزمایی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/refunds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استرداد</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/wallet/topup</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کیف پول</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/support/tickets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تیکت</w:t>
            </w:r>
          </w:p>
        </w:tc>
      </w:tr>
    </w:tbl>
    <w:p>
      <w:pPr>
        <w:pStyle w:val="Heading1"/>
        <w:spacing w:before="100" w:beforeAutospacing="1" w:after="100" w:afterAutospacing="1" w:line="360" w:lineRule="auto"/>
        <w:jc w:val="lowKashida"/>
        <w:rPr>
          <w:rFonts w:cs="B Nazanin"/>
          <w:rtl/>
          <w:lang w:bidi="fa-IR"/>
        </w:rPr>
      </w:pPr>
      <w:r>
        <w:rPr>
          <w:rFonts w:cs="B Nazanin"/>
          <w:rtl/>
          <w:lang w:bidi="fa-IR"/>
        </w:rPr>
        <w:t>بهره‌برداری و عملیات</w:t>
      </w:r>
    </w:p>
    <w:p>
      <w:pPr>
        <w:pStyle w:val="Heading2"/>
        <w:spacing w:before="100" w:beforeAutospacing="1" w:after="100" w:afterAutospacing="1" w:line="360" w:lineRule="auto"/>
        <w:jc w:val="lowKashida"/>
        <w:rPr>
          <w:rFonts w:cs="B Nazanin"/>
          <w:rtl/>
          <w:lang w:bidi="fa-IR"/>
        </w:rPr>
      </w:pPr>
      <w:r>
        <w:rPr>
          <w:rFonts w:cs="B Nazanin"/>
          <w:rtl/>
          <w:lang w:bidi="fa-IR"/>
        </w:rPr>
        <w:t>پایش و هشداردهی</w:t>
      </w:r>
    </w:p>
    <w:p>
      <w:pPr>
        <w:spacing w:before="100" w:beforeAutospacing="1" w:after="100" w:afterAutospacing="1" w:line="360" w:lineRule="auto"/>
        <w:jc w:val="both"/>
        <w:rPr>
          <w:rFonts w:cs="B Nazanin"/>
          <w:rtl/>
          <w:lang w:bidi="fa-IR"/>
        </w:rPr>
      </w:pPr>
      <w:r>
        <w:rPr>
          <w:rFonts w:cs="B Nazanin"/>
          <w:rtl/>
          <w:lang w:bidi="fa-IR"/>
        </w:rPr>
        <w:t>برای جلوگیری از غافلگیر شدن در مسیرهای حساس، پایش باید روی سنجه‌های تجربه کاربر و سنجه‌های وابستگی‌های بیرونی متمرکز باشد. به‌طور خاص، جست‌وجو و پرداخت باید هم از منظر کارایی و هم از منظر خطاها به‌صورت پیوسته زیر نظر باشد و در صورت عبور از آستانه‌ها، هشدار عملیاتی ایجاد شود. این هشدارها باید قابل اقدام باشند؛ یعنی همراه با شناسه ردیابی و زمینه کافی ثبت شوند.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1421"/>
        <w:gridCol w:w="2845"/>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حوزه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سنجه/هشدار</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آستانه</w:t>
            </w:r>
          </w:p>
        </w:tc>
        <w:tc>
          <w:tcPr>
            <w:tcW w:w="2845" w:type="dxa"/>
            <w:vAlign w:val="center"/>
          </w:tcPr>
          <w:p>
            <w:pPr>
              <w:spacing w:before="100" w:beforeAutospacing="1" w:after="100" w:afterAutospacing="1" w:line="360" w:lineRule="auto"/>
              <w:jc w:val="center"/>
              <w:rPr>
                <w:rFonts w:cs="B Nazanin"/>
                <w:rtl/>
                <w:lang w:bidi="fa-IR"/>
              </w:rPr>
            </w:pPr>
            <w:r>
              <w:rPr>
                <w:rFonts w:cs="B Nazanin"/>
                <w:b/>
                <w:bCs/>
                <w:rtl/>
                <w:lang w:bidi="fa-IR"/>
              </w:rPr>
              <w:t>اقدام</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پاسخ صدک ۹۵</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بیش از ۳ ثانیه</w:t>
            </w:r>
          </w:p>
        </w:tc>
        <w:tc>
          <w:tcPr>
            <w:tcW w:w="2845" w:type="dxa"/>
            <w:vAlign w:val="center"/>
          </w:tcPr>
          <w:p>
            <w:pPr>
              <w:spacing w:before="100" w:beforeAutospacing="1" w:after="100" w:afterAutospacing="1" w:line="360" w:lineRule="auto"/>
              <w:jc w:val="center"/>
              <w:rPr>
                <w:rFonts w:cs="B Nazanin"/>
                <w:rtl/>
                <w:lang w:bidi="fa-IR"/>
              </w:rPr>
            </w:pPr>
            <w:r>
              <w:rPr>
                <w:rFonts w:cs="B Nazanin"/>
                <w:rtl/>
                <w:lang w:bidi="fa-IR"/>
              </w:rPr>
              <w:t>بررسی تأمین‌کننده‌های کند، فعال‌سازی کاهش سطح خدمت</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تأمین‌کنندگان</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نرخ خطا</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بیش از ۵٪ در ۱۰ دقیقه</w:t>
            </w:r>
          </w:p>
        </w:tc>
        <w:tc>
          <w:tcPr>
            <w:tcW w:w="2845" w:type="dxa"/>
            <w:vAlign w:val="center"/>
          </w:tcPr>
          <w:p>
            <w:pPr>
              <w:spacing w:before="100" w:beforeAutospacing="1" w:after="100" w:afterAutospacing="1" w:line="360" w:lineRule="auto"/>
              <w:jc w:val="center"/>
              <w:rPr>
                <w:rFonts w:cs="B Nazanin"/>
                <w:rtl/>
                <w:lang w:bidi="fa-IR"/>
              </w:rPr>
            </w:pPr>
            <w:r>
              <w:rPr>
                <w:rFonts w:cs="B Nazanin"/>
                <w:rtl/>
                <w:lang w:bidi="fa-IR"/>
              </w:rPr>
              <w:t>محدودسازی یا قطع موقت تأمین‌کننده و ثبت رخداد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ناموفق/مبهم</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افزایش غیرعادی</w:t>
            </w:r>
          </w:p>
        </w:tc>
        <w:tc>
          <w:tcPr>
            <w:tcW w:w="2845" w:type="dxa"/>
            <w:vAlign w:val="center"/>
          </w:tcPr>
          <w:p>
            <w:pPr>
              <w:spacing w:before="100" w:beforeAutospacing="1" w:after="100" w:afterAutospacing="1" w:line="360" w:lineRule="auto"/>
              <w:jc w:val="center"/>
              <w:rPr>
                <w:rFonts w:cs="B Nazanin"/>
                <w:rtl/>
                <w:lang w:bidi="fa-IR"/>
              </w:rPr>
            </w:pPr>
            <w:r>
              <w:rPr>
                <w:rFonts w:cs="B Nazanin"/>
                <w:rtl/>
                <w:lang w:bidi="fa-IR"/>
              </w:rPr>
              <w:t>بررسی درگاه، فعال‌سازی مسیر نیازمند بررسی</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صدور</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ناموفق پس از پرداخت موفق</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بیش از ۱٪</w:t>
            </w:r>
          </w:p>
        </w:tc>
        <w:tc>
          <w:tcPr>
            <w:tcW w:w="2845"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کنترل‌شده و اطلاع‌رسانی به پشتیبانی</w:t>
            </w:r>
          </w:p>
        </w:tc>
      </w:tr>
    </w:tbl>
    <w:p>
      <w:pPr>
        <w:pStyle w:val="Heading2"/>
        <w:spacing w:before="100" w:beforeAutospacing="1" w:after="100" w:afterAutospacing="1" w:line="360" w:lineRule="auto"/>
        <w:jc w:val="lowKashida"/>
        <w:rPr>
          <w:rFonts w:cs="B Nazanin"/>
          <w:rtl/>
          <w:lang w:bidi="fa-IR"/>
        </w:rPr>
      </w:pPr>
      <w:r>
        <w:rPr>
          <w:rFonts w:cs="B Nazanin"/>
          <w:rtl/>
          <w:lang w:bidi="fa-IR"/>
        </w:rPr>
        <w:t>پشتیبان‌گیری و بازیابی</w:t>
      </w:r>
    </w:p>
    <w:p>
      <w:pPr>
        <w:spacing w:before="100" w:beforeAutospacing="1" w:after="100" w:afterAutospacing="1" w:line="360" w:lineRule="auto"/>
        <w:jc w:val="both"/>
        <w:rPr>
          <w:rFonts w:cs="B Nazanin"/>
          <w:rtl/>
          <w:lang w:bidi="fa-IR"/>
        </w:rPr>
      </w:pPr>
      <w:r>
        <w:rPr>
          <w:rFonts w:cs="B Nazanin"/>
          <w:rtl/>
          <w:lang w:bidi="fa-IR"/>
        </w:rPr>
        <w:t>برای داده‌های تراکنشی، داشتن برنامه پشتیبان‌گیری و بازیابی ضروری است. هدف این برنامه این است که در رخدادهای عملیاتی، داده از دست نرود و سامانه در زمان قابل قبول به کار برگردد. این بخش، اهداف عملیاتی را مشخص می‌کند تا در پیاده‌سازی و عملیات مبنا قرار گیرد.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هدف</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هدف زمان بازیابی (RTO)</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 ساعت</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حداکثر زمان قابل قبول برای بازگشت سرویس پس از رخداد</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هدف نقطه بازیابی (RPO)</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۱۵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حداکثر داده قابل از دست‌رفتن در بدترین حالت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پشتیبان‌گیری پایگاه داده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روزانه + نقطه‌ای</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تهیه نسخه کامل و امکان بازیابی نقطه‌ای در بازه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تمرین بازیابی</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ماهیانه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بازیابی آزمایشی برای اطمینان از قابل اجرا بودن فرایند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مدیریت رخداد و پیگیری</w:t>
      </w:r>
    </w:p>
    <w:p>
      <w:pPr>
        <w:spacing w:before="100" w:beforeAutospacing="1" w:after="100" w:afterAutospacing="1" w:line="360" w:lineRule="auto"/>
        <w:jc w:val="both"/>
        <w:rPr>
          <w:rFonts w:cs="B Nazanin"/>
          <w:rtl/>
          <w:lang w:bidi="fa-IR"/>
        </w:rPr>
      </w:pPr>
      <w:r>
        <w:rPr>
          <w:rFonts w:cs="B Nazanin"/>
          <w:rtl/>
          <w:lang w:bidi="fa-IR"/>
        </w:rPr>
        <w:t>برای رخدادهای مالی و عملیاتی، مهم است که ثبت رخداد و پیگیری، به وضعیت‌های قابل فهم تبدیل شود. به همین دلیل، وضعیت‌هایی مانند نیازمند بررسی در سفارش تعریف شده است تا هم پشتیبانی و هم عملیات بتوانند بدون حدس و گمان، کار را پیگیری کنند و روند حل مسئله قابل گزارش باشد.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3412"/>
        <w:gridCol w:w="3412"/>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رخداد</w:t>
            </w:r>
          </w:p>
        </w:tc>
        <w:tc>
          <w:tcPr>
            <w:tcW w:w="3412" w:type="dxa"/>
            <w:vAlign w:val="center"/>
          </w:tcPr>
          <w:p>
            <w:pPr>
              <w:spacing w:before="100" w:beforeAutospacing="1" w:after="100" w:afterAutospacing="1" w:line="360" w:lineRule="auto"/>
              <w:jc w:val="center"/>
              <w:rPr>
                <w:rFonts w:cs="B Nazanin"/>
                <w:rtl/>
                <w:lang w:bidi="fa-IR"/>
              </w:rPr>
            </w:pPr>
            <w:r>
              <w:rPr>
                <w:rFonts w:cs="B Nazanin"/>
                <w:b/>
                <w:bCs/>
                <w:rtl/>
                <w:lang w:bidi="fa-IR"/>
              </w:rPr>
              <w:t>داده‌های لازم برای پیگیری</w:t>
            </w:r>
          </w:p>
        </w:tc>
        <w:tc>
          <w:tcPr>
            <w:tcW w:w="3412" w:type="dxa"/>
            <w:vAlign w:val="center"/>
          </w:tcPr>
          <w:p>
            <w:pPr>
              <w:spacing w:before="100" w:beforeAutospacing="1" w:after="100" w:afterAutospacing="1" w:line="360" w:lineRule="auto"/>
              <w:jc w:val="center"/>
              <w:rPr>
                <w:rFonts w:cs="B Nazanin"/>
                <w:rtl/>
                <w:lang w:bidi="fa-IR"/>
              </w:rPr>
            </w:pPr>
            <w:r>
              <w:rPr>
                <w:rFonts w:cs="B Nazanin"/>
                <w:b/>
                <w:bCs/>
                <w:rtl/>
                <w:lang w:bidi="fa-IR"/>
              </w:rPr>
              <w:t>خروجی/اقدام</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پرداخت مبهم</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شناسه سفارش، شناسه تراکنش، شناسه پیگیری درگاه</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انتقال به وضعیت نیازمند بررسی و ایجاد وظیفه پشتیبانی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شناسه سفارش، نام تأمین‌کننده، کد خطا</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کنترل‌شده و اطلاع‌رسانی به کاربر/پشتیبانی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کندی جست‌وجو</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 تفکیک زمان پاسخ تأمین‌کننده‌ها</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محدودسازی تأمین‌کننده کند و ثبت رخداد عملیاتی</w:t>
            </w:r>
          </w:p>
        </w:tc>
      </w:tr>
    </w:tbl>
    <w:p>
      <w:pPr>
        <w:pStyle w:val="Heading3"/>
        <w:spacing w:before="100" w:beforeAutospacing="1" w:after="100" w:afterAutospacing="1" w:line="360" w:lineRule="auto"/>
        <w:jc w:val="lowKashida"/>
        <w:rPr>
          <w:rFonts w:cs="B Nazanin"/>
          <w:rtl/>
          <w:lang w:bidi="fa-IR"/>
        </w:rPr>
      </w:pPr>
      <w:r>
        <w:rPr>
          <w:rFonts w:cs="B Nazanin"/>
          <w:rtl/>
          <w:lang w:bidi="fa-IR"/>
        </w:rPr>
        <w:t>ثبت رویدادها و ممیزی</w:t>
      </w:r>
    </w:p>
    <w:p>
      <w:pPr>
        <w:spacing w:before="100" w:beforeAutospacing="1" w:after="100" w:afterAutospacing="1" w:line="360" w:lineRule="auto"/>
        <w:jc w:val="both"/>
        <w:rPr>
          <w:rFonts w:cs="B Nazanin"/>
          <w:rtl/>
          <w:lang w:bidi="fa-IR"/>
        </w:rPr>
      </w:pPr>
      <w:r>
        <w:rPr>
          <w:rFonts w:cs="B Nazanin"/>
          <w:rtl/>
          <w:lang w:bidi="fa-IR"/>
        </w:rPr>
        <w:t>برای اینکه پیگیری رخدادها به حدس و گمان وابسته نباشد، رویدادهای کلیدی در دو سطح ثبت می‌شوند: ثبت عملیاتی (برای عیب‌یابی و پایش) و ثبت ممیزی (برای پاسخ‌گویی و پیگیری مالی). حداقلِ مورد انتظار این است که هر رویداد، همراه با شناسه‌های اصلی و نتیجه عملیات ثبت شود تا با یک شناسه سفارش یا تراکنش، بتوان مسیر رخداد را بازسازی کرد.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رویداد</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محل ثبت</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حداقل فیلدهای ثبت‌شونده</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ایجاد سفارش</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bookingId، userId، createdAt، status</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bookingId، transactionId، amount، idempotencyKey</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transactionId، gatewayRef، نتیجه راستی‌آزمایی، تکراری/غیرتکراری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تأیید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bookingId، transactionId، وضعیت نهایی پرداخت، زمان تأیید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شروع صدور</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bookingId، providerName، requestId/traceId</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نتیجه صدور</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bookingId، providerRef، issueStatus، کد خطا/پیام</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شروع استرداد</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bookingId، مبلغ بازپرداخت، علت/قانون</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نتیجه بازپرداخت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transactionId، gatewayRef، refundStatus، زمان ثبت</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داده (اختیاری)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576572"/>
            <wp:effectExtent l="0" t="0" r="0" b="0"/>
            <wp:wrapSquare wrapText="largest"/>
            <wp:docPr id="1015" name="image-fig-9-1.png" descr=""/>
            <wp:cNvGraphicFramePr>
              <a:graphicFrameLocks noChangeAspect="1"/>
            </wp:cNvGraphicFramePr>
            <a:graphic>
              <a:graphicData uri="http://schemas.openxmlformats.org/drawingml/2006/picture">
                <pic:pic>
                  <pic:nvPicPr>
                    <pic:cNvPr id="1015" name="image-fig-9-1.png" descr=""/>
                    <pic:cNvPicPr>
                      <a:picLocks noChangeAspect="1" noChangeArrowheads="1"/>
                    </pic:cNvPicPr>
                  </pic:nvPicPr>
                  <pic:blipFill>
                    <a:blip r:embed="rId28" cstate="print"/>
                    <a:stretch>
                      <a:fillRect/>
                    </a:stretch>
                  </pic:blipFill>
                  <pic:spPr bwMode="auto">
                    <a:xfrm>
                      <a:off x="0" y="0"/>
                      <a:ext cx="5943600" cy="457657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pPr>
        <w:pStyle w:val="Heading1"/>
        <w:spacing w:before="100" w:beforeAutospacing="1" w:after="100" w:afterAutospacing="1" w:line="360" w:lineRule="auto"/>
        <w:jc w:val="lowKashida"/>
        <w:rPr>
          <w:rFonts w:cs="B Nazanin"/>
          <w:rtl/>
          <w:lang w:bidi="fa-IR"/>
        </w:rPr>
      </w:pPr>
      <w:r>
        <w:rPr>
          <w:rFonts w:cs="B Nazanin"/>
          <w:rtl/>
          <w:lang w:bidi="fa-IR"/>
        </w:rPr>
        <w:t>کارایی</w:t>
      </w:r>
    </w:p>
    <w:p>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pPr>
        <w:pStyle w:val="Heading2"/>
        <w:spacing w:before="100" w:beforeAutospacing="1" w:after="100" w:afterAutospacing="1" w:line="360" w:lineRule="auto"/>
        <w:jc w:val="lowKashida"/>
        <w:rPr>
          <w:rFonts w:cs="B Nazanin"/>
          <w:rtl/>
          <w:lang w:bidi="fa-IR"/>
        </w:rPr>
      </w:pPr>
      <w:r>
        <w:rPr>
          <w:rFonts w:cs="B Nazanin"/>
          <w:rtl/>
          <w:lang w:bidi="fa-IR"/>
        </w:rPr>
        <w:t>روش سنجش کارایی</w:t>
      </w:r>
    </w:p>
    <w:p>
      <w:pPr>
        <w:spacing w:before="100" w:beforeAutospacing="1" w:after="100" w:afterAutospacing="1" w:line="360" w:lineRule="auto"/>
        <w:jc w:val="both"/>
        <w:rPr>
          <w:rFonts w:cs="B Nazanin"/>
          <w:rtl/>
          <w:lang w:bidi="fa-IR"/>
        </w:rPr>
      </w:pPr>
      <w:r>
        <w:rPr>
          <w:rFonts w:cs="B Nazanin"/>
          <w:rtl/>
          <w:lang w:bidi="fa-IR"/>
        </w:rPr>
        <w:t>برای سنجش کارایی، سنجه‌ها از محل‌های درست جمع‌آوری می‌شوند تا هم تجربه کاربر دیده شود و هم سهم هر وابستگی بیرونی قابل تفکیک باشد.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سنجه</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جایی که اندازه‌گیری می‌شود</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چیزی که باید ثبت شود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زمان پاسخ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API جست‌وجو</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زمان کل + تفکیک زمان تماس با هر تأمین‌کننده + شناسه ردیابی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زمان بازگشت/راستی‌آزمایی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API پرداخت</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زمان بازگشت بانک + زمان راستی‌آزمایی + نتیجه نهایی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زمان صدور</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صدور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زمان درخواست تا پاسخ تأمین‌کننده + کد خطا/موفقیت</w:t>
            </w:r>
          </w:p>
        </w:tc>
      </w:tr>
    </w:tbl>
    <w:p>
      <w:pPr>
        <w:pStyle w:val="Heading2"/>
        <w:spacing w:before="100" w:beforeAutospacing="1" w:after="100" w:afterAutospacing="1" w:line="360" w:lineRule="auto"/>
        <w:jc w:val="lowKashida"/>
        <w:rPr>
          <w:rFonts w:cs="B Nazanin"/>
          <w:rtl/>
          <w:lang w:bidi="fa-IR"/>
        </w:rPr>
      </w:pPr>
      <w:r>
        <w:rPr>
          <w:rFonts w:cs="B Nazanin"/>
          <w:rtl/>
          <w:lang w:bidi="fa-IR"/>
        </w:rPr>
        <w:t>تنظیمات اجرایی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مقدار</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۱۰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کاهش بار تماس با تأمین‌کنندگان و بهبود زمان پاسخ در بازه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۲٫۵ ثانیه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 بار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فقط برای خطاهای موقت؛ با فاصله زمانی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۱۵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قفل شدن منابع و مدیریت سفارش‌های نیمه‌کاره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۲۴ ساعت</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بی‌اثر کردن بازگشت‌های تکراری و جلوگیری از پردازش دوباره</w:t>
            </w:r>
          </w:p>
        </w:tc>
      </w:tr>
    </w:tbl>
    <w:p>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گلوگاه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ریسک</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 کند/قطع</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افزایش زمان پاسخ</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 قطع‌کننده مدار سبک</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تکرار/تقلب</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خودکار + تیکت پشتیبانی</w:t>
            </w:r>
          </w:p>
        </w:tc>
      </w:tr>
    </w:tbl>
    <w:p>
      <w:pPr>
        <w:pStyle w:val="Heading1"/>
        <w:spacing w:before="100" w:beforeAutospacing="1" w:after="100" w:afterAutospacing="1" w:line="360" w:lineRule="auto"/>
        <w:jc w:val="lowKashida"/>
        <w:rPr>
          <w:rFonts w:cs="B Nazanin"/>
          <w:rtl/>
          <w:lang w:bidi="fa-IR"/>
        </w:rPr>
      </w:pPr>
      <w:r>
        <w:rPr>
          <w:rFonts w:cs="B Nazanin"/>
          <w:rtl/>
          <w:lang w:bidi="fa-IR"/>
        </w:rPr>
        <w:t>کیفیت</w:t>
      </w:r>
    </w:p>
    <w:p>
      <w:pPr>
        <w:pStyle w:val="Heading2"/>
        <w:spacing w:before="100" w:beforeAutospacing="1" w:after="100" w:afterAutospacing="1" w:line="360" w:lineRule="auto"/>
        <w:jc w:val="lowKashida"/>
        <w:rPr>
          <w:rFonts w:cs="B Nazanin"/>
          <w:rtl/>
          <w:lang w:bidi="fa-IR"/>
        </w:rPr>
      </w:pPr>
      <w:r>
        <w:rPr>
          <w:rFonts w:cs="B Nazanin"/>
          <w:rtl/>
          <w:lang w:bidi="fa-IR"/>
        </w:rPr>
        <w:t>امنیت</w:t>
      </w:r>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pPr>
        <w:pStyle w:val="Heading3"/>
        <w:spacing w:before="100" w:beforeAutospacing="1" w:after="100" w:afterAutospacing="1" w:line="360" w:lineRule="auto"/>
        <w:jc w:val="lowKashida"/>
        <w:rPr>
          <w:rFonts w:cs="B Nazanin"/>
          <w:rtl/>
          <w:lang w:bidi="fa-IR"/>
        </w:rPr>
      </w:pPr>
      <w:r>
        <w:rPr>
          <w:rFonts w:cs="B Nazanin"/>
          <w:rtl/>
          <w:lang w:bidi="fa-IR"/>
        </w:rPr>
        <w:t>دارایی‌های حساس و تهدیدهای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دارایی/حوزه</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تهدیدهای رایج</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کنترل‌ها</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حساب کاربری و نشست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دسترسی غیرمجاز، حملات حدس گذرواژه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توکن امن، محدودیت نرخ، قفل موقت، ثبت ممیزی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پرداخت و سفارش</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پردازش تکراری، تقلب، دستکاری بازگشت</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راستی‌آزمایی، امضا/توکن بازگشت</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داده‌های شخصی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افشای داده، دسترسی بیش از حد</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حداقل‌سازی داده، نقش‌ها و مجوزها، رمزنگاری ستون‌های حساس</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بیرونی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قطع سرویس، پاسخ مخرب/نامعتبر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اعتبارسنجی پاسخ، کاهش سطح خدمت</w:t>
            </w:r>
          </w:p>
        </w:tc>
      </w:tr>
    </w:tbl>
    <w:p>
      <w:pPr>
        <w:pStyle w:val="Heading2"/>
        <w:spacing w:before="100" w:beforeAutospacing="1" w:after="100" w:afterAutospacing="1" w:line="360" w:lineRule="auto"/>
        <w:jc w:val="lowKashida"/>
        <w:rPr>
          <w:rFonts w:cs="B Nazanin"/>
          <w:rtl/>
          <w:lang w:bidi="fa-IR"/>
        </w:rPr>
      </w:pPr>
      <w:r>
        <w:rPr>
          <w:rFonts w:cs="B Nazanin"/>
          <w:rtl/>
          <w:lang w:bidi="fa-IR"/>
        </w:rPr>
        <w:t>هدف سطح خدمت (SLO) و توافق سطح خدمت (SLA)</w:t>
      </w:r>
    </w:p>
    <w:p>
      <w:pPr>
        <w:spacing w:before="100" w:beforeAutospacing="1" w:after="100" w:afterAutospacing="1" w:line="360" w:lineRule="auto"/>
        <w:jc w:val="both"/>
        <w:rPr>
          <w:rFonts w:cs="B Nazanin"/>
          <w:rtl/>
          <w:lang w:bidi="fa-IR"/>
        </w:rPr>
      </w:pPr>
      <w:r>
        <w:rPr>
          <w:rFonts w:cs="B Nazanin"/>
          <w:rtl/>
          <w:lang w:bidi="fa-IR"/>
        </w:rPr>
        <w:t>برای اینکه کیفیت قابل داوری باشد، چند هدف سطح خدمت به‌عنوان مبنای ارزیابی در نظر گرفته شده است. این اهداف در فازهای بعدی می‌تواند به توافق عملیاتی تبدیل شود.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هدف</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روش ارزیابی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زمان پاسخ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صدک ۹۵ کمتر از ۳ ثانیه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اندازه‌گیری از API جست‌وجو با شناسه ردیابی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نرخ موفقیت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بیش از ۹۹٪</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نتیجه راستی‌آزمایی پرداخت در بازه زمانی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نرخ شکست صدور پس از پرداخت موفق</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کمتر از 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شمارش سفارش‌های پرداخت تأیید شد که صدور ناموفق دارند</w:t>
            </w:r>
          </w:p>
        </w:tc>
      </w:tr>
    </w:tbl>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ns2:paraId="69DB83C4" ns2:textId="77777777" w:rsidTr="00F6497D">
      <w:trPr>
        <w:jc w:val="center"/>
      </w:trPr>
      <w:tc>
        <w:tcPr>
          <w:tcW w:w="2230" w:type="dxa"/>
        </w:tcPr>
        <w:p ns2:paraId="63B8F92A" ns2: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ns2:paraId="4A3BA509" ns2: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‏۱۴۰۴</w:t>
          </w:r>
          <w:r w:rsidRPr="00367D54">
            <w:rPr>
              <w:rFonts w:cs="B Nazanin"/>
              <w:rtl/>
            </w:rPr>
            <w:fldChar w:fldCharType="end"/>
          </w:r>
          <w:r>
            <w:rPr>
              <w:rFonts w:cs="B Nazanin" w:hint="cs"/>
              <w:rtl/>
              <w:lang w:bidi="fa-IR"/>
            </w:rPr>
            <w:t>، سامانه مارکوپولو</w:t>
          </w:r>
        </w:p>
      </w:tc>
      <w:tc>
        <w:tcPr>
          <w:tcW w:w="1148" w:type="dxa"/>
        </w:tcPr>
        <w:p ns2:paraId="6D372FDF" ns2:textId="77777777" w:rsidR="00772020" w:rsidRPr="00367D54" w:rsidRDefault="00772020" w:rsidP="00AB05F3">
          <w:pPr>
            <w:pStyle w:val="Footer"/>
            <w:rPr>
              <w:rFonts w:cs="B Nazanin"/>
              <w:rtl/>
            </w:rPr>
          </w:pPr>
        </w:p>
      </w:tc>
      <w:tc>
        <w:tcPr>
          <w:tcW w:w="1372" w:type="dxa"/>
        </w:tcPr>
        <w:p ns2:paraId="79346389" ns2: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ns2:paraId="255ADFEE" ns2: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ns2:paraId="6D22E57C"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232AF72C" ns2: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مارکوپولو</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42590BB5" ns2: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ns2:paraId="0659D2D0"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6ECAB1DE" ns2: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71167A2C" ns2: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۲۴</w:t>
          </w:r>
          <w:r w:rsidRPr="00AA7C85">
            <w:rPr>
              <w:rFonts w:hint="cs"/>
              <w:color w:val="767171" w:themeColor="background2" w:themeShade="80"/>
              <w:rtl/>
            </w:rPr>
            <w:t>/</w:t>
          </w:r>
          <w:r>
            <w:rPr>
              <w:rFonts w:hint="cs"/>
              <w:color w:val="767171" w:themeColor="background2" w:themeShade="80"/>
              <w:rtl/>
            </w:rPr>
            <w:t>۱۱</w:t>
          </w:r>
          <w:r w:rsidRPr="00AA7C85">
            <w:rPr>
              <w:rFonts w:hint="cs"/>
              <w:color w:val="767171" w:themeColor="background2" w:themeShade="80"/>
              <w:rtl/>
            </w:rPr>
            <w:t>/۱۴۰</w:t>
          </w:r>
          <w:r>
            <w:rPr>
              <w:rFonts w:hint="cs"/>
              <w:color w:val="767171" w:themeColor="background2" w:themeShade="80"/>
              <w:rtl/>
            </w:rPr>
            <w:t>۴</w:t>
          </w:r>
        </w:p>
      </w:tc>
    </w:tr>
  </w:tbl>
  <w:p ns2:paraId="3EF92D89" ns2: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ns1="http://schemas.openxmlformats.org/markup-compatibility/2006" xmlns:ns3="urn:schemas-microsoft-com:office:office" xmlns:ns4="urn:schemas-microsoft-com:vml" xmlns:ns5="http://schemas.openxmlformats.org/officeDocument/2006/math" xmlns:ns6="http://schemas.microsoft.com/office/word/2010/wordml" xmlns:ns7="http://schemas.microsoft.com/office/word/2012/wordml" xmlns:r="http://schemas.openxmlformats.org/officeDocument/2006/relationships" xmlns:w="http://schemas.openxmlformats.org/wordprocessingml/2006/main" ns1: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ns3:shapedefaults ns4:ext="edit" spidmax="2050">
      <ns3:colormru ns4:ext="edit" colors="#f8f8f8,white"/>
    </ns3: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ns5:mathPr>
    <ns5:mathFont ns5:val="Cambria Math"/>
    <ns5:brkBin ns5:val="before"/>
    <ns5:brkBinSub ns5:val="--"/>
    <ns5:smallFrac ns5:val="0"/>
    <ns5:dispDef/>
    <ns5:lMargin ns5:val="0"/>
    <ns5:rMargin ns5:val="0"/>
    <ns5:defJc ns5:val="centerGroup"/>
    <ns5:wrapIndent ns5:val="1440"/>
    <ns5:intLim ns5:val="subSup"/>
    <ns5:naryLim ns5:val="undOvr"/>
  </ns5: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ns3:shapedefaults ns4:ext="edit" spidmax="2050">
      <ns3:colormru ns4:ext="edit" colors="#f8f8f8,white"/>
    </ns3:shapedefaults>
    <ns3:shapelayout ns4:ext="edit">
      <ns3:idmap ns4:ext="edit" data="2"/>
    </ns3:shapelayout>
  </w:shapeDefaults>
  <w:decimalSymbol w:val="."/>
  <w:listSeparator w:val=","/>
  <ns6:docId ns6:val="61A06A10"/>
  <ns7:chartTrackingRefBased/>
  <ns7:docId ns7:val="{0ABACAB5-ACE8-4991-BD41-E15089B213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4-5.png" /><Relationship Id="rId21" Type="http://schemas.openxmlformats.org/officeDocument/2006/relationships/image" Target="media/image-fig-4-6.png" /><Relationship Id="rId22" Type="http://schemas.openxmlformats.org/officeDocument/2006/relationships/image" Target="media/image-fig-4-7.png" /><Relationship Id="rId23" Type="http://schemas.openxmlformats.org/officeDocument/2006/relationships/image" Target="media/image-fig-4-8.png" /><Relationship Id="rId24" Type="http://schemas.openxmlformats.org/officeDocument/2006/relationships/image" Target="media/image-fig-4-9.png" /><Relationship Id="rId25" Type="http://schemas.openxmlformats.org/officeDocument/2006/relationships/image" Target="media/image-fig-5-1.png" /><Relationship Id="rId26" Type="http://schemas.openxmlformats.org/officeDocument/2006/relationships/image" Target="media/image-fig-5-2.png" /><Relationship Id="rId27" Type="http://schemas.openxmlformats.org/officeDocument/2006/relationships/image" Target="media/image-fig-7-1.png" /><Relationship Id="rId28"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