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2026-02-11</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ns2:paraId="766C72CF" ns2:textId="77777777" w:rsidR="00D9687B" w:rsidRPr="006007F5" w:rsidRDefault="00D9687B" w:rsidP="00BB5BCD">
      <w:pPr>
        <w:rPr>
          <w:rFonts w:cs="B Nazanin"/>
          <w:sz w:val="28"/>
          <w:szCs w:val="28"/>
          <w:rtl/>
        </w:rPr>
      </w:pPr>
    </w:p>
    <w:p ns2:paraId="397D6583" ns2:textId="77777777" w:rsidR="009C269B" w:rsidRPr="00DD0F13" w:rsidRDefault="00231AA4">
      <w:pPr>
        <w:pStyle w:val="TOC1"/>
        <w:rPr>
          <w:rFonts w:asciiTheme="minorHAnsi" w:eastAsiaTheme="minorEastAsia" w:hAnsiTheme="minorHAnsi" w:cs="B Nazanin"/>
          <w:b w:val="0"/>
          <w:bCs w:val="0"/>
          <w:noProof/>
          <w:sz w:val="22"/>
          <w:szCs w:val="22"/>
          <w:rtl/>
          <w:lang w:bidi="ar-SA"/>
        </w:rPr>
      </w:pPr>
      <w:r w:rsidRPr="00B23F07">
        <w:rPr>
          <w:rFonts w:cs="B Nazanin"/>
          <w:sz w:val="28"/>
        </w:rPr>
        <w:fldChar w:fldCharType="begin"/>
      </w:r>
      <w:r w:rsidRPr="00B23F07">
        <w:rPr>
          <w:rFonts w:cs="B Nazanin"/>
          <w:sz w:val="28"/>
        </w:rPr>
        <w:instrText xml:space="preserve"> TOC \o "1-3" \h \z \u </w:instrText>
      </w:r>
      <w:r w:rsidRPr="00B23F07">
        <w:rPr>
          <w:rFonts w:cs="B Nazanin"/>
          <w:sz w:val="28"/>
        </w:rPr>
        <w:fldChar w:fldCharType="separate"/>
      </w:r>
      <w:hyperlink w:anchor="_Toc185417483" w:history="1">
        <w:r w:rsidR="009C269B" w:rsidRPr="00DD0F13">
          <w:rPr>
            <w:rStyle w:val="Hyperlink"/>
            <w:rFonts w:cs="B Nazanin"/>
            <w:noProof/>
            <w:rtl/>
          </w:rPr>
          <w:t>1-</w:t>
        </w:r>
        <w:r w:rsidR="009C269B" w:rsidRPr="00DD0F13">
          <w:rPr>
            <w:rFonts w:asciiTheme="minorHAnsi" w:eastAsiaTheme="minorEastAsia" w:hAnsiTheme="minorHAnsi" w:cs="B Nazanin"/>
            <w:b w:val="0"/>
            <w:bCs w:val="0"/>
            <w:noProof/>
            <w:sz w:val="22"/>
            <w:szCs w:val="22"/>
            <w:rtl/>
            <w:lang w:bidi="ar-SA"/>
          </w:rPr>
          <w:tab/>
        </w:r>
        <w:r w:rsidR="009C269B" w:rsidRPr="00DD0F13">
          <w:rPr>
            <w:rStyle w:val="Hyperlink"/>
            <w:rFonts w:cs="B Nazanin"/>
            <w:noProof/>
            <w:rtl/>
          </w:rPr>
          <w:t>کليات سند</w:t>
        </w:r>
        <w:r w:rsidR="009C269B" w:rsidRPr="00DD0F13">
          <w:rPr>
            <w:rFonts w:cs="B Nazanin"/>
            <w:noProof/>
            <w:webHidden/>
            <w:rtl/>
          </w:rPr>
          <w:tab/>
        </w:r>
        <w:r w:rsidR="009C269B" w:rsidRPr="00DD0F13">
          <w:rPr>
            <w:rFonts w:cs="B Nazanin"/>
            <w:noProof/>
            <w:webHidden/>
            <w:rtl/>
          </w:rPr>
          <w:fldChar w:fldCharType="begin"/>
        </w:r>
        <w:r w:rsidR="009C269B" w:rsidRPr="00DD0F13">
          <w:rPr>
            <w:rFonts w:cs="B Nazanin"/>
            <w:noProof/>
            <w:webHidden/>
            <w:rtl/>
          </w:rPr>
          <w:instrText xml:space="preserve"> </w:instrText>
        </w:r>
        <w:r w:rsidR="009C269B" w:rsidRPr="00DD0F13">
          <w:rPr>
            <w:rFonts w:cs="B Nazanin"/>
            <w:noProof/>
            <w:webHidden/>
          </w:rPr>
          <w:instrText>PAGEREF</w:instrText>
        </w:r>
        <w:r w:rsidR="009C269B" w:rsidRPr="00DD0F13">
          <w:rPr>
            <w:rFonts w:cs="B Nazanin"/>
            <w:noProof/>
            <w:webHidden/>
            <w:rtl/>
          </w:rPr>
          <w:instrText xml:space="preserve"> _</w:instrText>
        </w:r>
        <w:r w:rsidR="009C269B" w:rsidRPr="00DD0F13">
          <w:rPr>
            <w:rFonts w:cs="B Nazanin"/>
            <w:noProof/>
            <w:webHidden/>
          </w:rPr>
          <w:instrText>Toc185417483 \h</w:instrText>
        </w:r>
        <w:r w:rsidR="009C269B" w:rsidRPr="00DD0F13">
          <w:rPr>
            <w:rFonts w:cs="B Nazanin"/>
            <w:noProof/>
            <w:webHidden/>
            <w:rtl/>
          </w:rPr>
          <w:instrText xml:space="preserve"> </w:instrText>
        </w:r>
        <w:r w:rsidR="009C269B" w:rsidRPr="00DD0F13">
          <w:rPr>
            <w:rFonts w:cs="B Nazanin"/>
            <w:noProof/>
            <w:webHidden/>
            <w:rtl/>
          </w:rPr>
        </w:r>
        <w:r w:rsidR="009C269B" w:rsidRPr="00DD0F13">
          <w:rPr>
            <w:rFonts w:cs="B Nazanin"/>
            <w:noProof/>
            <w:webHidden/>
            <w:rtl/>
          </w:rPr>
          <w:fldChar w:fldCharType="separate"/>
        </w:r>
        <w:r w:rsidR="009663A4">
          <w:rPr>
            <w:rFonts w:cs="B Nazanin"/>
            <w:noProof/>
            <w:webHidden/>
            <w:rtl/>
          </w:rPr>
          <w:t>5</w:t>
        </w:r>
        <w:r w:rsidR="009C269B" w:rsidRPr="00DD0F13">
          <w:rPr>
            <w:rFonts w:cs="B Nazanin"/>
            <w:noProof/>
            <w:webHidden/>
            <w:rtl/>
          </w:rPr>
          <w:fldChar w:fldCharType="end"/>
        </w:r>
      </w:hyperlink>
    </w:p>
    <w:p ns2:paraId="1AAC253D"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4" w:history="1">
        <w:r w:rsidRPr="009663A4">
          <w:rPr>
            <w:rStyle w:val="Hyperlink"/>
            <w:rtl/>
          </w:rPr>
          <w:t>1-1-هدف</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Toc185417484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91D560C"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5" w:history="1">
        <w:r w:rsidRPr="009663A4">
          <w:rPr>
            <w:rStyle w:val="Hyperlink"/>
            <w:rtl/>
          </w:rPr>
          <w:t>1-2-محدوده</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Toc185417485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57AEFBD"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6" w:history="1">
        <w:r w:rsidRPr="00DD0F13">
          <w:rPr>
            <w:rStyle w:val="Hyperlink"/>
            <w:rFonts w:cs="B Nazanin"/>
            <w:noProof/>
            <w:rtl/>
          </w:rPr>
          <w:t>2-</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نما</w:t>
        </w:r>
        <w:r w:rsidRPr="00DD0F13">
          <w:rPr>
            <w:rStyle w:val="Hyperlink"/>
            <w:rFonts w:cs="B Nazanin" w:hint="cs"/>
            <w:noProof/>
            <w:rtl/>
          </w:rPr>
          <w:t>ی</w:t>
        </w:r>
        <w:r w:rsidRPr="00DD0F13">
          <w:rPr>
            <w:rStyle w:val="Hyperlink"/>
            <w:rFonts w:cs="B Nazanin" w:hint="eastAsia"/>
            <w:noProof/>
            <w:rtl/>
          </w:rPr>
          <w:t>ش</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684BF648"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87" w:history="1">
        <w:r w:rsidRPr="00DD0F13">
          <w:rPr>
            <w:rStyle w:val="Hyperlink"/>
            <w:rFonts w:cs="B Nazanin"/>
            <w:noProof/>
            <w:rtl/>
          </w:rPr>
          <w:t>3-</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اهداف و محدود</w:t>
        </w:r>
        <w:r w:rsidRPr="00DD0F13">
          <w:rPr>
            <w:rStyle w:val="Hyperlink"/>
            <w:rFonts w:cs="B Nazanin" w:hint="cs"/>
            <w:noProof/>
            <w:rtl/>
          </w:rPr>
          <w:t>یت</w:t>
        </w:r>
        <w:r w:rsidRPr="00DD0F13">
          <w:rPr>
            <w:rStyle w:val="Hyperlink"/>
            <w:rFonts w:cs="B Nazanin" w:hint="eastAsia"/>
            <w:noProof/>
            <w:rtl/>
          </w:rPr>
          <w:t>‌</w:t>
        </w:r>
        <w:r w:rsidRPr="00DD0F13">
          <w:rPr>
            <w:rStyle w:val="Hyperlink"/>
            <w:rFonts w:cs="B Nazanin"/>
            <w:noProof/>
            <w:rtl/>
          </w:rPr>
          <w:t>ها</w:t>
        </w:r>
        <w:r w:rsidRPr="00DD0F13">
          <w:rPr>
            <w:rStyle w:val="Hyperlink"/>
            <w:rFonts w:cs="B Nazanin" w:hint="cs"/>
            <w:noProof/>
            <w:rtl/>
          </w:rPr>
          <w:t>ی</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Toc185417487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4534131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8" w:history="1">
        <w:r w:rsidRPr="00DD0F13">
          <w:rPr>
            <w:rStyle w:val="Hyperlink"/>
            <w:rFonts w:cs="B Nazanin"/>
            <w:noProof/>
            <w:rtl/>
          </w:rPr>
          <w:t>4-</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سنار</w:t>
        </w:r>
        <w:r w:rsidRPr="00DD0F13">
          <w:rPr>
            <w:rStyle w:val="Hyperlink"/>
            <w:rFonts w:cs="B Nazanin" w:hint="cs"/>
            <w:noProof/>
            <w:rtl/>
          </w:rPr>
          <w:t>ی</w:t>
        </w:r>
        <w:r w:rsidRPr="00DD0F13">
          <w:rPr>
            <w:rStyle w:val="Hyperlink"/>
            <w:rFonts w:cs="B Nazanin" w:hint="eastAsia"/>
            <w:noProof/>
            <w:rtl/>
          </w:rPr>
          <w:t>وها</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Toc185417488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6</w:t>
        </w:r>
        <w:r w:rsidRPr="00DD0F13">
          <w:rPr>
            <w:rFonts w:cs="B Nazanin"/>
            <w:noProof/>
            <w:webHidden/>
            <w:rtl/>
          </w:rPr>
          <w:fldChar w:fldCharType="end"/>
        </w:r>
      </w:hyperlink>
    </w:p>
    <w:p ns2:paraId="79CCC7D2" ns2:textId="77777777" w:rsidR="009C269B" w:rsidRPr="008A46CD" w:rsidRDefault="009C269B" w:rsidP="009663A4">
      <w:pPr>
        <w:pStyle w:val="TOC2"/>
        <w:rPr>
          <w:rFonts w:asciiTheme="minorHAnsi" w:eastAsiaTheme="minorEastAsia" w:hAnsiTheme="minorHAnsi"/>
          <w:sz w:val="22"/>
          <w:szCs w:val="22"/>
          <w:rtl/>
          <w:lang w:bidi="ar-SA"/>
        </w:rPr>
      </w:pPr>
      <w:hyperlink w:anchor="_Toc185417489" w:history="1">
        <w:r w:rsidRPr="008A46CD">
          <w:rPr>
            <w:rStyle w:val="Hyperlink"/>
            <w:rtl/>
          </w:rPr>
          <w:t>4-1-ع</w:t>
        </w:r>
        <w:r w:rsidRPr="008A46CD">
          <w:rPr>
            <w:rStyle w:val="Hyperlink"/>
            <w:rFonts w:hint="cs"/>
            <w:rtl/>
          </w:rPr>
          <w:t>ی</w:t>
        </w:r>
        <w:r w:rsidRPr="008A46CD">
          <w:rPr>
            <w:rStyle w:val="Hyperlink"/>
            <w:rFonts w:hint="eastAsia"/>
            <w:rtl/>
          </w:rPr>
          <w:t>ن</w:t>
        </w:r>
        <w:r w:rsidRPr="008A46CD">
          <w:rPr>
            <w:rStyle w:val="Hyperlink"/>
            <w:rFonts w:hint="cs"/>
            <w:rtl/>
          </w:rPr>
          <w:t>ی</w:t>
        </w:r>
        <w:r w:rsidRPr="008A46CD">
          <w:rPr>
            <w:rStyle w:val="Hyperlink"/>
            <w:rFonts w:hint="eastAsia"/>
            <w:rtl/>
          </w:rPr>
          <w:t>ت</w:t>
        </w:r>
        <w:r w:rsidRPr="008A46CD">
          <w:rPr>
            <w:rStyle w:val="Hyperlink"/>
            <w:rFonts w:hint="cs"/>
            <w:rtl/>
          </w:rPr>
          <w:t>‌</w:t>
        </w:r>
        <w:r w:rsidRPr="008A46CD">
          <w:rPr>
            <w:rStyle w:val="Hyperlink"/>
            <w:rtl/>
          </w:rPr>
          <w:t>بخش</w:t>
        </w:r>
        <w:r w:rsidRPr="008A46CD">
          <w:rPr>
            <w:rStyle w:val="Hyperlink"/>
            <w:rFonts w:hint="cs"/>
            <w:rtl/>
          </w:rPr>
          <w:t>ی</w:t>
        </w:r>
        <w:r w:rsidRPr="008A46CD">
          <w:rPr>
            <w:rStyle w:val="Hyperlink"/>
            <w:rtl/>
          </w:rPr>
          <w:t xml:space="preserve"> موارد کاربر</w:t>
        </w:r>
        <w:r w:rsidRPr="008A46CD">
          <w:rPr>
            <w:rStyle w:val="Hyperlink"/>
            <w:rFonts w:hint="cs"/>
            <w:rtl/>
          </w:rPr>
          <w:t>ی</w:t>
        </w:r>
        <w:r w:rsidRPr="008A46CD">
          <w:rPr>
            <w:webHidden/>
            <w:rtl/>
          </w:rPr>
          <w:tab/>
        </w:r>
        <w:r w:rsidRPr="008A46CD">
          <w:rPr>
            <w:webHidden/>
            <w:rtl/>
          </w:rPr>
          <w:fldChar w:fldCharType="begin"/>
        </w:r>
        <w:r w:rsidRPr="008A46CD">
          <w:rPr>
            <w:webHidden/>
            <w:rtl/>
          </w:rPr>
          <w:instrText xml:space="preserve"> </w:instrText>
        </w:r>
        <w:r w:rsidRPr="008A46CD">
          <w:rPr>
            <w:webHidden/>
          </w:rPr>
          <w:instrText>PAGEREF</w:instrText>
        </w:r>
        <w:r w:rsidRPr="008A46CD">
          <w:rPr>
            <w:webHidden/>
            <w:rtl/>
          </w:rPr>
          <w:instrText xml:space="preserve"> _</w:instrText>
        </w:r>
        <w:r w:rsidRPr="008A46CD">
          <w:rPr>
            <w:webHidden/>
          </w:rPr>
          <w:instrText>Toc185417489 \h</w:instrText>
        </w:r>
        <w:r w:rsidRPr="008A46CD">
          <w:rPr>
            <w:webHidden/>
            <w:rtl/>
          </w:rPr>
          <w:instrText xml:space="preserve"> </w:instrText>
        </w:r>
        <w:r w:rsidRPr="008A46CD">
          <w:rPr>
            <w:webHidden/>
            <w:rtl/>
          </w:rPr>
        </w:r>
        <w:r w:rsidRPr="008A46CD">
          <w:rPr>
            <w:webHidden/>
            <w:rtl/>
          </w:rPr>
          <w:fldChar w:fldCharType="separate"/>
        </w:r>
        <w:r w:rsidR="009663A4">
          <w:rPr>
            <w:webHidden/>
            <w:rtl/>
          </w:rPr>
          <w:t>6</w:t>
        </w:r>
        <w:r w:rsidRPr="008A46CD">
          <w:rPr>
            <w:webHidden/>
            <w:rtl/>
          </w:rPr>
          <w:fldChar w:fldCharType="end"/>
        </w:r>
      </w:hyperlink>
    </w:p>
    <w:p ns2:paraId="401AB029"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0" w:history="1">
        <w:r w:rsidRPr="00DD0F13">
          <w:rPr>
            <w:rStyle w:val="Hyperlink"/>
            <w:rFonts w:cs="B Nazanin"/>
            <w:noProof/>
            <w:rtl/>
          </w:rPr>
          <w:t>5-</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منطق</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Toc185417490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5AE4EB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1" w:history="1">
        <w:r w:rsidRPr="00DD0F13">
          <w:rPr>
            <w:rStyle w:val="Hyperlink"/>
            <w:rFonts w:cs="B Nazanin"/>
            <w:noProof/>
            <w:rtl/>
          </w:rPr>
          <w:t>6-</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فرا</w:t>
        </w:r>
        <w:r w:rsidRPr="00DD0F13">
          <w:rPr>
            <w:rStyle w:val="Hyperlink"/>
            <w:rFonts w:cs="B Nazanin" w:hint="cs"/>
            <w:noProof/>
            <w:rtl/>
          </w:rPr>
          <w:t>ی</w:t>
        </w:r>
        <w:r w:rsidRPr="00DD0F13">
          <w:rPr>
            <w:rStyle w:val="Hyperlink"/>
            <w:rFonts w:cs="B Nazanin" w:hint="eastAsia"/>
            <w:noProof/>
            <w:rtl/>
          </w:rPr>
          <w:t>ند</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Toc185417491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1B3A38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2" w:history="1">
        <w:r w:rsidRPr="00DD0F13">
          <w:rPr>
            <w:rStyle w:val="Hyperlink"/>
            <w:rFonts w:cs="B Nazanin"/>
            <w:noProof/>
            <w:rtl/>
          </w:rPr>
          <w:t>7-</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w:t>
        </w:r>
        <w:r w:rsidRPr="00DD0F13">
          <w:rPr>
            <w:rStyle w:val="Hyperlink"/>
            <w:rFonts w:cs="B Nazanin" w:hint="cs"/>
            <w:noProof/>
            <w:rtl/>
          </w:rPr>
          <w:t>ی</w:t>
        </w:r>
        <w:r w:rsidRPr="00DD0F13">
          <w:rPr>
            <w:rStyle w:val="Hyperlink"/>
            <w:rFonts w:cs="B Nazanin" w:hint="eastAsia"/>
            <w:noProof/>
            <w:rtl/>
          </w:rPr>
          <w:t>ز</w:t>
        </w:r>
        <w:r w:rsidRPr="00DD0F13">
          <w:rPr>
            <w:rStyle w:val="Hyperlink"/>
            <w:rFonts w:cs="B Nazanin" w:hint="cs"/>
            <w:noProof/>
            <w:rtl/>
          </w:rPr>
          <w:t>ی</w:t>
        </w:r>
        <w:r w:rsidRPr="00DD0F13">
          <w:rPr>
            <w:rStyle w:val="Hyperlink"/>
            <w:rFonts w:cs="B Nazanin" w:hint="eastAsia"/>
            <w:noProof/>
            <w:rtl/>
          </w:rPr>
          <w:t>ک</w:t>
        </w:r>
        <w:r w:rsidRPr="00DD0F13">
          <w:rPr>
            <w:rStyle w:val="Hyperlink"/>
            <w:rFonts w:cs="B Nazanin" w:hint="cs"/>
            <w:noProof/>
            <w:rtl/>
          </w:rPr>
          <w:t>ی</w:t>
        </w:r>
        <w:r w:rsidRPr="00DD0F13">
          <w:rPr>
            <w:rStyle w:val="Hyperlink"/>
            <w:rFonts w:cs="B Nazanin"/>
            <w:noProof/>
            <w:rtl/>
          </w:rPr>
          <w:t xml:space="preserve"> (استقرار)</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Toc185417492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23A512A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3" w:history="1">
        <w:r w:rsidRPr="00DD0F13">
          <w:rPr>
            <w:rStyle w:val="Hyperlink"/>
            <w:rFonts w:cs="B Nazanin"/>
            <w:noProof/>
            <w:rtl/>
          </w:rPr>
          <w:t>8-</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توسعه</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Toc185417493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0EC8DD92"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4" w:history="1">
        <w:r w:rsidRPr="00DD0F13">
          <w:rPr>
            <w:rStyle w:val="Hyperlink"/>
            <w:rFonts w:cs="B Nazanin"/>
            <w:noProof/>
            <w:rtl/>
          </w:rPr>
          <w:t>9-</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داده (اخت</w:t>
        </w:r>
        <w:r w:rsidRPr="00DD0F13">
          <w:rPr>
            <w:rStyle w:val="Hyperlink"/>
            <w:rFonts w:cs="B Nazanin" w:hint="cs"/>
            <w:noProof/>
            <w:rtl/>
          </w:rPr>
          <w:t>ی</w:t>
        </w:r>
        <w:r w:rsidRPr="00DD0F13">
          <w:rPr>
            <w:rStyle w:val="Hyperlink"/>
            <w:rFonts w:cs="B Nazanin" w:hint="eastAsia"/>
            <w:noProof/>
            <w:rtl/>
          </w:rPr>
          <w:t>ار</w:t>
        </w:r>
        <w:r w:rsidRPr="00DD0F13">
          <w:rPr>
            <w:rStyle w:val="Hyperlink"/>
            <w:rFonts w:cs="B Nazanin" w:hint="cs"/>
            <w:noProof/>
            <w:rtl/>
          </w:rPr>
          <w:t>ی</w:t>
        </w:r>
        <w:r w:rsidRPr="00DD0F13">
          <w:rPr>
            <w:rStyle w:val="Hyperlink"/>
            <w:rFonts w:cs="B Nazanin"/>
            <w:noProof/>
            <w:rtl/>
          </w:rPr>
          <w:t>)</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Toc185417494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4AE8E229"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95" w:history="1">
        <w:r w:rsidRPr="00DD0F13">
          <w:rPr>
            <w:rStyle w:val="Hyperlink"/>
            <w:rFonts w:cs="B Nazanin"/>
            <w:noProof/>
            <w:rtl/>
          </w:rPr>
          <w:t>10-کارا</w:t>
        </w:r>
        <w:r w:rsidRPr="00DD0F13">
          <w:rPr>
            <w:rStyle w:val="Hyperlink"/>
            <w:rFonts w:cs="B Nazanin" w:hint="cs"/>
            <w:noProof/>
            <w:rtl/>
          </w:rPr>
          <w:t>یی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Toc185417495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63391A9B" ns2:textId="77777777" w:rsidR="009C269B" w:rsidRDefault="009C269B" w:rsidP="009C269B">
      <w:pPr>
        <w:pStyle w:val="TOC1"/>
        <w:rPr>
          <w:rFonts w:asciiTheme="minorHAnsi" w:eastAsiaTheme="minorEastAsia" w:hAnsiTheme="minorHAnsi" w:cstheme="minorBidi"/>
          <w:b w:val="0"/>
          <w:bCs w:val="0"/>
          <w:noProof/>
          <w:sz w:val="22"/>
          <w:szCs w:val="22"/>
          <w:rtl/>
          <w:lang w:bidi="ar-SA"/>
        </w:rPr>
      </w:pPr>
      <w:hyperlink w:anchor="_Toc185417496" w:history="1">
        <w:r w:rsidRPr="00DD0F13">
          <w:rPr>
            <w:rStyle w:val="Hyperlink"/>
            <w:rFonts w:cs="B Nazanin"/>
            <w:noProof/>
            <w:rtl/>
          </w:rPr>
          <w:t>11-ک</w:t>
        </w:r>
        <w:r w:rsidRPr="00DD0F13">
          <w:rPr>
            <w:rStyle w:val="Hyperlink"/>
            <w:rFonts w:cs="B Nazanin" w:hint="cs"/>
            <w:noProof/>
            <w:rtl/>
          </w:rPr>
          <w:t>ی</w:t>
        </w:r>
        <w:r w:rsidRPr="00DD0F13">
          <w:rPr>
            <w:rStyle w:val="Hyperlink"/>
            <w:rFonts w:cs="B Nazanin" w:hint="eastAsia"/>
            <w:noProof/>
            <w:rtl/>
          </w:rPr>
          <w:t>ف</w:t>
        </w:r>
        <w:r w:rsidRPr="00DD0F13">
          <w:rPr>
            <w:rStyle w:val="Hyperlink"/>
            <w:rFonts w:cs="B Nazanin" w:hint="cs"/>
            <w:noProof/>
            <w:rtl/>
          </w:rPr>
          <w:t>ی</w:t>
        </w:r>
        <w:r w:rsidRPr="00DD0F13">
          <w:rPr>
            <w:rStyle w:val="Hyperlink"/>
            <w:rFonts w:cs="B Nazanin" w:hint="eastAsia"/>
            <w:noProof/>
            <w:rtl/>
          </w:rPr>
          <w:t>ت</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20BE92BD" ns2:textId="77777777" w:rsidR="00231AA4" w:rsidRPr="006007F5" w:rsidRDefault="00231AA4" w:rsidP="00B23F07">
      <w:pPr>
        <w:jc w:val="lowKashida"/>
        <w:rPr>
          <w:rFonts w:cs="B Nazanin"/>
        </w:rPr>
      </w:pPr>
      <w:r w:rsidRPr="00B23F07">
        <w:rPr>
          <w:rFonts w:cs="B Nazanin"/>
          <w:sz w:val="28"/>
          <w:szCs w:val="28"/>
        </w:rPr>
        <w:fldChar w:fldCharType="end"/>
      </w:r>
    </w:p>
    <w:p ns2:paraId="4A101BC0" ns2:textId="77777777" w:rsidR="00F84D07" w:rsidRDefault="00F84D07" w:rsidP="00BB5BCD">
      <w:pPr>
        <w:rPr>
          <w:rFonts w:cs="B Nazanin"/>
          <w:sz w:val="28"/>
          <w:szCs w:val="28"/>
          <w:rtl/>
        </w:rPr>
        <w:sectPr w:rsidR="00F84D07" w:rsidSect="0057139A">
          <w:headerReference w:type="default" r:id="rId9"/>
          <w:footerReference w:type="default" r:id="rId10"/>
          <w:pgSz w:w="11906" w:h="16838"/>
          <w:pgMar w:top="1440" w:right="1800" w:bottom="1440" w:left="1800" w:header="720" w:footer="720" w:gutter="0"/>
          <w:cols w:space="720"/>
          <w:bidi/>
          <w:rtlGutter/>
          <w:docGrid w:linePitch="360"/>
        </w:sectPr>
      </w:pPr>
    </w:p>
    <w:p ns2:paraId="67056C57" ns2:textId="77777777" w:rsidR="006A3CAC" w:rsidRPr="00FA41DA" w:rsidRDefault="006A3CAC" w:rsidP="00BB5BCD">
      <w:pPr>
        <w:spacing w:line="240" w:lineRule="atLeast"/>
        <w:ind w:left="432" w:right="720"/>
        <w:rPr>
          <w:rFonts w:cs="B Nazanin"/>
          <w:sz w:val="20"/>
          <w:szCs w:val="20"/>
        </w:rPr>
      </w:pPr>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pPr>
        <w:pStyle w:val="Heading1"/>
        <w:spacing w:before="100" w:beforeAutospacing="1" w:after="100" w:afterAutospacing="1" w:line="360" w:lineRule="auto"/>
        <w:jc w:val="lowKashida"/>
        <w:rPr>
          <w:rFonts w:cs="B Nazanin"/>
          <w:rtl/>
          <w:lang w:bidi="fa-IR"/>
        </w:rPr>
      </w:pPr>
      <w:r>
        <w:rPr>
          <w:rFonts w:cs="B Nazanin"/>
          <w:rtl/>
          <w:lang w:bidi="fa-IR"/>
        </w:rPr>
        <w:t>کلیات سند</w:t>
      </w:r>
    </w:p>
    <w:p>
      <w:pPr>
        <w:pStyle w:val="Heading2"/>
        <w:spacing w:before="100" w:beforeAutospacing="1" w:after="100" w:afterAutospacing="1" w:line="360" w:lineRule="auto"/>
        <w:jc w:val="lowKashida"/>
        <w:rPr>
          <w:rFonts w:cs="B Nazanin"/>
          <w:rtl/>
          <w:lang w:bidi="fa-IR"/>
        </w:rPr>
      </w:pPr>
      <w:r>
        <w:rPr>
          <w:rFonts w:cs="B Nazanin"/>
          <w:rtl/>
          <w:lang w:bidi="fa-IR"/>
        </w:rPr>
        <w:t>هدف</w:t>
      </w:r>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w:t>
      </w:r>
    </w:p>
    <w:p>
      <w:pPr>
        <w:pStyle w:val="Heading2"/>
        <w:spacing w:before="100" w:beforeAutospacing="1" w:after="100" w:afterAutospacing="1" w:line="360" w:lineRule="auto"/>
        <w:jc w:val="lowKashida"/>
        <w:rPr>
          <w:rFonts w:cs="B Nazanin"/>
          <w:rtl/>
          <w:lang w:bidi="fa-IR"/>
        </w:rPr>
      </w:pPr>
      <w:r>
        <w:rPr>
          <w:rFonts w:cs="B Nazanin"/>
          <w:rtl/>
          <w:lang w:bidi="fa-IR"/>
        </w:rPr>
        <w:t>محدوده</w:t>
      </w:r>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درگاه بانکی و سامانه بیرونی پشتیبانی است. این سامانه‌ها به‌عنوان سرویس‌های بیرونی مصرف می‌شوند و در معماری صرفاً از منظر قراردادهای تبادل داده، مدیریت خطا، مهلت زمانی پاسخ و امنیت ارتباطات تحلیل می‌شوند. زیرساخت پیامک/ایمیل نیز به‌عنوان سرویس بیرونی در نظر گرفته می‌شود.</w:t>
      </w:r>
    </w:p>
    <w:p>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اصطلاح</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تعریف</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تراکنش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bl>
    <w:p>
      <w:pPr>
        <w:spacing w:before="100" w:beforeAutospacing="1" w:after="100" w:afterAutospacing="1" w:line="360" w:lineRule="auto"/>
        <w:jc w:val="lowKashida"/>
        <w:rPr>
          <w:rFonts w:cs="B Nazanin"/>
          <w:rtl/>
          <w:lang w:bidi="fa-IR"/>
        </w:rPr>
      </w:pPr>
      <w:r>
        <w:rPr>
          <w:rFonts w:cs="B Nazanin"/>
          <w:rtl/>
          <w:lang w:bidi="fa-IR"/>
        </w:rPr>
        <w:t>ذی‌نفعان و نیازهای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ذی‌نفع</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نیاز/انتظار</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پشتیبانی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دسترسی به وضعیت سفارش/پرداخت، ابزار پیگیری، ثبت وقایع و ممیزی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فنی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کسب‌وکار</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p>
    <w:p>
      <w:pPr>
        <w:pStyle w:val="Heading2"/>
        <w:spacing w:before="100" w:beforeAutospacing="1" w:after="100" w:afterAutospacing="1" w:line="360" w:lineRule="auto"/>
        <w:jc w:val="lowKashida"/>
        <w:rPr>
          <w:rFonts w:cs="B Nazanin"/>
          <w:rtl/>
          <w:lang w:bidi="fa-IR"/>
        </w:rPr>
      </w:pPr>
      <w:r>
        <w:rPr>
          <w:rFonts w:cs="B Nazanin"/>
          <w:rtl/>
          <w:lang w:bidi="fa-IR"/>
        </w:rPr>
        <w:t>سبک معماری (انتخاب‌شده)</w:t>
      </w:r>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5024"/>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403502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7347775"/>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734777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68383"/>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306838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p>
    <w:p>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ویژگی کیفی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معیار ارزیابی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راهکار معماری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۳ ثانیه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صفحه‌بندی، زمان‌سنجی برای تأمین‌کنندگان</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دسترس‌پذیری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تعداد رخداد قطعی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۱ بار در هفته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تلاش مجدد کنترل‌شده، قطع‌کننده مدار سبک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توان عملیاتی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 افقی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API بدون حالت + حافظه نهان + پایگاه داده مشترک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امنیت</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رخداد نفوذ/تقلب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حداقل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 امضا/توکن بازگشت بانک، ثبت وقایع ممیزی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نگهداشت‌پذیری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سریع و کم‌ریسک</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مبدل/روش کارخانه + آزمون قرارداد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مشاهده‌پذیری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قابلیت ردیابی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کامل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ردیابی/شناسه همبستگی در خرید/پرداخت</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محدودیت‌ها</w:t>
      </w:r>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به‌عنوان معیارهای پیشنهادی، این مقادیر در نظر گرفته می‌شود: زمان پاسخ جست‌وجو (صدک ۹۵) کمتر از ۳ ثانیه، نرخ خطای بازگشت بانک کمتر از ۱ درصد، و ثبت رویدادهای کلیدی خرید، پرداخت و صدور برای هر سفارش.</w:t>
      </w:r>
    </w:p>
    <w:p>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 (خلاصه)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تصمیم</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پیامد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امکان گذار به ریزخدمت با مرزبندی دامنه</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سناریوهای جبرانی و تلاش‌مجدد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کاهش ریسک تغییرات با هزینه توسعه مبدل</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برای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زمان اعتبار و سیاست بی‌اعتبارسازی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ذخیره و کنترل کلیدها در پایگاه داده</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p>
    <w:p>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1976247"/>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197624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 (جامع).</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1002"/>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345100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UC-01 (Cache Hit).</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7933"/>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403793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UC-01 (Cache Miss + چند تأمین‌کننده + کنترل خطا).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9580340"/>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958034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فعالیت UC-01 (اعتبارسنجی، Cache، کاهش سطح خدمت، صفحه‌بندی).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31236"/>
            <wp:effectExtent l="0" t="0" r="0" b="0"/>
            <wp:wrapSquare wrapText="largest"/>
            <wp:docPr id="1007" name="image-fig-4-5.png" descr=""/>
            <wp:cNvGraphicFramePr>
              <a:graphicFrameLocks noChangeAspect="1"/>
            </wp:cNvGraphicFramePr>
            <a:graphic>
              <a:graphicData uri="http://schemas.openxmlformats.org/drawingml/2006/picture">
                <pic:pic>
                  <pic:nvPicPr>
                    <pic:cNvPr id="1007" name="image-fig-4-5.png" descr=""/>
                    <pic:cNvPicPr>
                      <a:picLocks noChangeAspect="1" noChangeArrowheads="1"/>
                    </pic:cNvPicPr>
                  </pic:nvPicPr>
                  <pic:blipFill>
                    <a:blip r:embed="rId20" cstate="print"/>
                    <a:stretch>
                      <a:fillRect/>
                    </a:stretch>
                  </pic:blipFill>
                  <pic:spPr bwMode="auto">
                    <a:xfrm>
                      <a:off x="0" y="0"/>
                      <a:ext cx="5943600" cy="3031236"/>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۴-۵: نمودار توالی UC-02 (شروع خرید تا شروع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73453"/>
            <wp:effectExtent l="0" t="0" r="0" b="0"/>
            <wp:wrapSquare wrapText="largest"/>
            <wp:docPr id="1008" name="image-fig-4-6.png" descr=""/>
            <wp:cNvGraphicFramePr>
              <a:graphicFrameLocks noChangeAspect="1"/>
            </wp:cNvGraphicFramePr>
            <a:graphic>
              <a:graphicData uri="http://schemas.openxmlformats.org/drawingml/2006/picture">
                <pic:pic>
                  <pic:nvPicPr>
                    <pic:cNvPr id="1008" name="image-fig-4-6.png" descr=""/>
                    <pic:cNvPicPr>
                      <a:picLocks noChangeAspect="1" noChangeArrowheads="1"/>
                    </pic:cNvPicPr>
                  </pic:nvPicPr>
                  <pic:blipFill>
                    <a:blip r:embed="rId21" cstate="print"/>
                    <a:stretch>
                      <a:fillRect/>
                    </a:stretch>
                  </pic:blipFill>
                  <pic:spPr bwMode="auto">
                    <a:xfrm>
                      <a:off x="0" y="0"/>
                      <a:ext cx="5943600" cy="477345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۴-۶: نمودار توالی UC-02 (بازگشت بانک و راستی‌آزمایی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4717"/>
            <wp:effectExtent l="0" t="0" r="0" b="0"/>
            <wp:wrapSquare wrapText="largest"/>
            <wp:docPr id="1009" name="image-fig-4-7.png" descr=""/>
            <wp:cNvGraphicFramePr>
              <a:graphicFrameLocks noChangeAspect="1"/>
            </wp:cNvGraphicFramePr>
            <a:graphic>
              <a:graphicData uri="http://schemas.openxmlformats.org/drawingml/2006/picture">
                <pic:pic>
                  <pic:nvPicPr>
                    <pic:cNvPr id="1009" name="image-fig-4-7.png" descr=""/>
                    <pic:cNvPicPr>
                      <a:picLocks noChangeAspect="1" noChangeArrowheads="1"/>
                    </pic:cNvPicPr>
                  </pic:nvPicPr>
                  <pic:blipFill>
                    <a:blip r:embed="rId22" cstate="print"/>
                    <a:stretch>
                      <a:fillRect/>
                    </a:stretch>
                  </pic:blipFill>
                  <pic:spPr bwMode="auto">
                    <a:xfrm>
                      <a:off x="0" y="0"/>
                      <a:ext cx="5943600" cy="345471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۴-۷: نمودار توالی UC-02 (صدور، اعلان و مسیر جبرانی).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8841105"/>
            <wp:effectExtent l="0" t="0" r="0" b="0"/>
            <wp:wrapSquare wrapText="largest"/>
            <wp:docPr id="1010" name="image-fig-4-8.png" descr=""/>
            <wp:cNvGraphicFramePr>
              <a:graphicFrameLocks noChangeAspect="1"/>
            </wp:cNvGraphicFramePr>
            <a:graphic>
              <a:graphicData uri="http://schemas.openxmlformats.org/drawingml/2006/picture">
                <pic:pic>
                  <pic:nvPicPr>
                    <pic:cNvPr id="1010" name="image-fig-4-8.png" descr=""/>
                    <pic:cNvPicPr>
                      <a:picLocks noChangeAspect="1" noChangeArrowheads="1"/>
                    </pic:cNvPicPr>
                  </pic:nvPicPr>
                  <pic:blipFill>
                    <a:blip r:embed="rId23" cstate="print"/>
                    <a:stretch>
                      <a:fillRect/>
                    </a:stretch>
                  </pic:blipFill>
                  <pic:spPr bwMode="auto">
                    <a:xfrm>
                      <a:off x="0" y="0"/>
                      <a:ext cx="5943600" cy="884110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۴-۸: نمودار فعالیت UC-02 (با مسیرهای استثنا).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791294"/>
            <wp:effectExtent l="0" t="0" r="0" b="0"/>
            <wp:wrapSquare wrapText="largest"/>
            <wp:docPr id="1011" name="image-fig-4-9.png" descr=""/>
            <wp:cNvGraphicFramePr>
              <a:graphicFrameLocks noChangeAspect="1"/>
            </wp:cNvGraphicFramePr>
            <a:graphic>
              <a:graphicData uri="http://schemas.openxmlformats.org/drawingml/2006/picture">
                <pic:pic>
                  <pic:nvPicPr>
                    <pic:cNvPr id="1011" name="image-fig-4-9.png" descr=""/>
                    <pic:cNvPicPr>
                      <a:picLocks noChangeAspect="1" noChangeArrowheads="1"/>
                    </pic:cNvPicPr>
                  </pic:nvPicPr>
                  <pic:blipFill>
                    <a:blip r:embed="rId24" cstate="print"/>
                    <a:stretch>
                      <a:fillRect/>
                    </a:stretch>
                  </pic:blipFill>
                  <pic:spPr bwMode="auto">
                    <a:xfrm>
                      <a:off x="0" y="0"/>
                      <a:ext cx="5943600" cy="579129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۴-۹: نمودار حالت سفارش (چرخه عمر سفارش از ایجاد تا پرداخت و صدور).</w:t>
      </w:r>
    </w:p>
    <w:p>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مولفه</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پیش‌شرط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پس‌شرط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 اصلی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گام‌های متوالی در حالت موفق از نگاه کاربر و سامانه.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جریان‌های جایگزین/خطا</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قواعد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100" w:beforeAutospacing="1" w:after="100" w:afterAutospacing="1" w:line="360" w:lineRule="auto"/>
        <w:jc w:val="lowKashida"/>
        <w:rPr>
          <w:rFonts w:cs="B Nazanin"/>
          <w:rtl/>
          <w:lang w:bidi="fa-IR"/>
        </w:rPr>
      </w:pPr>
      <w:r>
        <w:rPr>
          <w:rFonts w:cs="B Nazanin"/>
          <w:rtl/>
          <w:lang w:bidi="fa-IR"/>
        </w:rPr>
        <w:t>فهرست موارد کاربری سطح سیستم</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دسته‌بندی</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کنشگر</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موردکاربری کلان</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UC-01</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خدمات سفر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جست‌وجو/فیلتر/مرتب‌سازی گزینه‌ها</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UC-02</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خرید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پرداخت و صدور</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UC-03</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استرداد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لغو و بازگشت وجه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UC-04</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تور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UC-05</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اقامتگاه/هتل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UC-06</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بیمه مسافرتی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محاسبه، پرداخت و صدور بیمه‌نامه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UC-07</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درخواست/پیگیری ویزا</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درخواست، پرداخت و پیگیری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UC-08</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پرداخت و تراکنش</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UC-09</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UC-10</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نظر/امتیاز</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امتیاز پس از خرید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۱ (ساده): UC-01 جست‌وجوی خدمات سفر</w:t>
      </w:r>
    </w:p>
    <w:p>
      <w:pPr>
        <w:spacing w:before="100" w:beforeAutospacing="1" w:after="100" w:afterAutospacing="1" w:line="360" w:lineRule="auto"/>
        <w:jc w:val="both"/>
        <w:rPr>
          <w:rFonts w:cs="B Nazanin"/>
          <w:rtl/>
          <w:lang w:bidi="fa-IR"/>
        </w:rPr>
      </w:pPr>
      <w:r>
        <w:rPr>
          <w:rFonts w:cs="B Nazanin"/>
          <w:rtl/>
          <w:lang w:bidi="fa-IR"/>
        </w:rPr>
        <w:t>UC-01 به‌عنوان یک موردکاربری ساده انتخاب شده است. هدف آن این است که کاربر بتواند بر اساس معیارهای سفر، گزینه‌های موجود را از چند تأمین‌کننده دریافت و به‌صورت یکپارچه مشاهده کند.</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معیارهای جست‌وجو و مشاهده نتایج</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ارائه گزینه‌های سفر از طریق API</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ورودی نامعتبر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100" w:beforeAutospacing="1" w:after="100" w:afterAutospacing="1" w:line="360" w:lineRule="auto"/>
        <w:jc w:val="lowKashida"/>
        <w:rPr>
          <w:rFonts w:cs="B Nazanin"/>
          <w:rtl/>
          <w:lang w:bidi="fa-IR"/>
        </w:rPr>
      </w:pPr>
      <w:r>
        <w:rPr>
          <w:rFonts w:cs="B Nazanin"/>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بهتر است برای هر جست‌وجو زمان شروع و پایان، نام تأمین‌کننده و نتیجه (موفق/ناموفق) ثبت شود. همچنین نرخ خطای هر تأمین‌کننده به‌صورت دوره‌ای گزارش می‌شود تا تصمیم‌های عملیاتی (مثل محدودسازی یا قطع موقت) قابل انجام باشد.</w:t>
      </w:r>
    </w:p>
    <w:p>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۲ (پیچیده): UC-02 خرید بلیت</w:t>
      </w:r>
    </w:p>
    <w:p>
      <w:pPr>
        <w:spacing w:before="100" w:beforeAutospacing="1" w:after="100" w:afterAutospacing="1" w:line="360" w:lineRule="auto"/>
        <w:jc w:val="both"/>
        <w:rPr>
          <w:rFonts w:cs="B Nazanin"/>
          <w:rtl/>
          <w:lang w:bidi="fa-IR"/>
        </w:rPr>
      </w:pPr>
      <w:r>
        <w:rPr>
          <w:rFonts w:cs="B Nazanin"/>
          <w:rtl/>
          <w:lang w:bidi="fa-IR"/>
        </w:rPr>
        <w:t>UC-02 به‌عنوان موردکاربری پیچیده انتخاب شده است، زیرا شامل چند گام وابسته (بازبینی ظرفیت و قیمت، پرداخت، بازگشت بانک، راستی‌آزمایی و صدور) و مدیریت خطاهای حساس است.</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انتخاب گزینه سفر، ورود اطلاعات مسافر و انجام پرداخت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و صدور بلیت از طریق API</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بازگشت پرداخت و راستی‌آزمایی تراکنش</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سرویس اعلان</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تأیید خرید</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100" w:beforeAutospacing="1" w:after="100" w:afterAutospacing="1" w:line="360" w:lineRule="auto"/>
        <w:jc w:val="lowKashida"/>
        <w:rPr>
          <w:rFonts w:cs="B Nazanin"/>
          <w:rtl/>
          <w:lang w:bidi="fa-IR"/>
        </w:rPr>
      </w:pPr>
      <w:r>
        <w:rPr>
          <w:rFonts w:cs="B Nazanin"/>
          <w:rtl/>
          <w:lang w:bidi="fa-IR"/>
        </w:rPr>
        <w:t>قواعد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قانون</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بازبینی قبل از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۸</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۹</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تکراری بانک</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B4</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B5</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منطقی</w:t>
      </w:r>
    </w:p>
    <w:p>
      <w:pPr>
        <w:pStyle w:val="Heading2"/>
        <w:spacing w:before="100" w:beforeAutospacing="1" w:after="100" w:afterAutospacing="1" w:line="360" w:lineRule="auto"/>
        <w:jc w:val="lowKashida"/>
        <w:rPr>
          <w:rFonts w:cs="B Nazanin"/>
          <w:rtl/>
          <w:lang w:bidi="fa-IR"/>
        </w:rPr>
      </w:pPr>
      <w:r>
        <w:rPr>
          <w:rFonts w:cs="B Nazanin"/>
          <w:rtl/>
          <w:lang w:bidi="fa-IR"/>
        </w:rPr>
        <w:t>مدل لایه‌ای</w:t>
      </w:r>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دامنه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داده‌های اصلی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هویت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ورود/ثبت‌نام/پروفایل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کاربر، نشست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 و نتایج</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کلید جست‌وجو، گزینه سفر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 و وضعیت‌ها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سفارش، مسافر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تراکنش،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بلیت/واچر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تور/اقامتگاه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رزرو تور، رزرو اقامت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موجودی و تراکنش کیف‌پول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کیف‌پول، تراکنش کیف‌پول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تیکت و پیگیری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تیکت پشتیبانی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امتیاز و بازخورد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CRC (تحلیل) - مشترک</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895"/>
        <w:gridCol w:w="3791"/>
        <w:gridCol w:w="2844"/>
      </w:tblGrid>
      <w:tr>
        <w:tc>
          <w:tcPr>
            <w:tcW w:w="1895" w:type="dxa"/>
            <w:vAlign w:val="center"/>
          </w:tcPr>
          <w:p>
            <w:pPr>
              <w:spacing w:before="100" w:beforeAutospacing="1" w:after="100" w:afterAutospacing="1" w:line="360" w:lineRule="auto"/>
              <w:jc w:val="center"/>
              <w:rPr>
                <w:rFonts w:cs="B Nazanin"/>
                <w:rtl/>
                <w:lang w:bidi="fa-IR"/>
              </w:rPr>
            </w:pPr>
            <w:r>
              <w:rPr>
                <w:rFonts w:cs="B Nazanin"/>
                <w:b/>
                <w:bCs/>
                <w:rtl/>
                <w:lang w:bidi="fa-IR"/>
              </w:rPr>
              <w:t>کلاس</w:t>
            </w:r>
          </w:p>
        </w:tc>
        <w:tc>
          <w:tcPr>
            <w:tcW w:w="3791"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مسئولیت‌ها</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همکاران</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دریافت ورودی جست‌وجو، اعتبارسنجی اولیه، مدیریت خروجی صفحه‌بندی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SearchService،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اجرای جست‌وجو، تجمیع نتایج، حذف تکراری، مرتب‌سازی/فیلتر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خرید، دریافت اطلاعات مسافر، ایجاد سفارش و نمایش وضعیت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BookingService، PaymentService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ساخت/به‌روزرسانی سفارش، مدیریت چرخه وضعیت، قواعد انقضا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BookingRepository، ProviderAdapter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PaymentService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کنترل یکتایی عملیات، راستی‌آزمایی تراکنش</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PaymentGatewayClient، TransactionRepository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IssueService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درخواست صدور و ثبت نتیجه، مدیریت تلاش‌مجدد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NotificationService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RefundService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بررسی قوانین استرداد، ثبت درخواست و مدیریت بازپرداخت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PaymentGatewayClient، WalletService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ProviderAdapter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تطبیق قرارداد هر تأمین‌کننده، نگاشت داده و مدیریت خطا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HTTPClient، ProviderMapper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NotificationService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و پیگیری خطاهای ارسال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NotifyClient، OutboxRepository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SupportService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تیکت‌های عملیاتی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SupportClient، AuditLog</w:t>
            </w:r>
          </w:p>
        </w:tc>
      </w:tr>
    </w:tbl>
    <w:p>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 (نمونه)</w:t>
      </w:r>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استفاده هدفمند از الگوهای طراحی توصیه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88312"/>
            <wp:effectExtent l="0" t="0" r="0" b="0"/>
            <wp:wrapSquare wrapText="largest"/>
            <wp:docPr id="1012" name="image-fig-5-1.png" descr=""/>
            <wp:cNvGraphicFramePr>
              <a:graphicFrameLocks noChangeAspect="1"/>
            </wp:cNvGraphicFramePr>
            <a:graphic>
              <a:graphicData uri="http://schemas.openxmlformats.org/drawingml/2006/picture">
                <pic:pic>
                  <pic:nvPicPr>
                    <pic:cNvPr id="1012" name="image-fig-5-1.png" descr=""/>
                    <pic:cNvPicPr>
                      <a:picLocks noChangeAspect="1" noChangeArrowheads="1"/>
                    </pic:cNvPicPr>
                  </pic:nvPicPr>
                  <pic:blipFill>
                    <a:blip r:embed="rId25" cstate="print"/>
                    <a:stretch>
                      <a:fillRect/>
                    </a:stretch>
                  </pic:blipFill>
                  <pic:spPr bwMode="auto">
                    <a:xfrm>
                      <a:off x="0" y="0"/>
                      <a:ext cx="5943600" cy="478831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(تحلیلی) - کلاس‌های کلیدی و رابطه‌ها.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492597"/>
            <wp:effectExtent l="0" t="0" r="0" b="0"/>
            <wp:wrapSquare wrapText="largest"/>
            <wp:docPr id="1013" name="image-fig-5-2.png" descr=""/>
            <wp:cNvGraphicFramePr>
              <a:graphicFrameLocks noChangeAspect="1"/>
            </wp:cNvGraphicFramePr>
            <a:graphic>
              <a:graphicData uri="http://schemas.openxmlformats.org/drawingml/2006/picture">
                <pic:pic>
                  <pic:nvPicPr>
                    <pic:cNvPr id="1013" name="image-fig-5-2.png" descr=""/>
                    <pic:cNvPicPr>
                      <a:picLocks noChangeAspect="1" noChangeArrowheads="1"/>
                    </pic:cNvPicPr>
                  </pic:nvPicPr>
                  <pic:blipFill>
                    <a:blip r:embed="rId26" cstate="print"/>
                    <a:stretch>
                      <a:fillRect/>
                    </a:stretch>
                  </pic:blipFill>
                  <pic:spPr bwMode="auto">
                    <a:xfrm>
                      <a:off x="0" y="0"/>
                      <a:ext cx="5943600" cy="24925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۵-۲: نمودار کلاس (طراحی) - تمرکز روی رابط‌ها و عملیات.</w:t>
      </w:r>
    </w:p>
    <w:p>
      <w:pPr>
        <w:pStyle w:val="Heading1"/>
        <w:spacing w:before="100" w:beforeAutospacing="1" w:after="100" w:afterAutospacing="1" w:line="360" w:lineRule="auto"/>
        <w:jc w:val="lowKashida"/>
        <w:rPr>
          <w:rFonts w:cs="B Nazanin"/>
          <w:rtl/>
          <w:lang w:bidi="fa-IR"/>
        </w:rPr>
      </w:pPr>
      <w:r>
        <w:rPr>
          <w:rFonts w:cs="B Nazanin"/>
          <w:rtl/>
          <w:lang w:bidi="fa-IR"/>
        </w:rPr>
        <w:t>دید فرایند</w:t>
      </w:r>
    </w:p>
    <w:p>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pPr>
        <w:pStyle w:val="Heading2"/>
        <w:spacing w:before="100" w:beforeAutospacing="1" w:after="100" w:afterAutospacing="1" w:line="360" w:lineRule="auto"/>
        <w:jc w:val="lowKashida"/>
        <w:rPr>
          <w:rFonts w:cs="B Nazanin"/>
          <w:rtl/>
          <w:lang w:bidi="fa-IR"/>
        </w:rPr>
      </w:pPr>
      <w:r>
        <w:rPr>
          <w:rFonts w:cs="B Nazanin"/>
          <w:rtl/>
          <w:lang w:bidi="fa-IR"/>
        </w:rPr>
        <w:t>کارهای پس‌زمینه (اختیاری ولی پیشنهاد‌شده)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کار</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سیاست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۳ بار تلاش با افزایش تدریجی فاصله زمانی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پاکسازی رزروهای منقضی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آزادسازی منابع</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هر ۵ دقیقه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پایداری پیامک/ایمیل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 صف پیام‌های مرده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pPr>
        <w:pStyle w:val="Heading1"/>
        <w:spacing w:before="100" w:beforeAutospacing="1" w:after="100" w:afterAutospacing="1" w:line="360" w:lineRule="auto"/>
        <w:jc w:val="lowKashida"/>
        <w:rPr>
          <w:rFonts w:cs="B Nazanin"/>
          <w:rtl/>
          <w:lang w:bidi="fa-IR"/>
        </w:rPr>
      </w:pPr>
      <w:r>
        <w:rPr>
          <w:rFonts w:cs="B Nazanin"/>
          <w:rtl/>
          <w:lang w:bidi="fa-IR"/>
        </w:rPr>
        <w:t>دید فیزیکی (استقرار)</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858893"/>
            <wp:effectExtent l="0" t="0" r="0" b="0"/>
            <wp:wrapSquare wrapText="largest"/>
            <wp:docPr id="1014" name="image-fig-7-1.png" descr=""/>
            <wp:cNvGraphicFramePr>
              <a:graphicFrameLocks noChangeAspect="1"/>
            </wp:cNvGraphicFramePr>
            <a:graphic>
              <a:graphicData uri="http://schemas.openxmlformats.org/drawingml/2006/picture">
                <pic:pic>
                  <pic:nvPicPr>
                    <pic:cNvPr id="1014" name="image-fig-7-1.png" descr=""/>
                    <pic:cNvPicPr>
                      <a:picLocks noChangeAspect="1" noChangeArrowheads="1"/>
                    </pic:cNvPicPr>
                  </pic:nvPicPr>
                  <pic:blipFill>
                    <a:blip r:embed="rId27" cstate="print"/>
                    <a:stretch>
                      <a:fillRect/>
                    </a:stretch>
                  </pic:blipFill>
                  <pic:spPr bwMode="auto">
                    <a:xfrm>
                      <a:off x="0" y="0"/>
                      <a:ext cx="5943600" cy="485889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p>
    <w:p>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ماژول/بسته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فناوری‌های پیشنهادی</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وابستگی‌ها</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وب (ui-web)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React</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موبایل (ui-mobile)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Flutter</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Python (FastAPI)</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داده/حافظه نهان/یکپارچه‌سازی/کارهای پس‌زمینه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پایگاه داده (db)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ذخیره‌سازی پایدار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PostgreSQL</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(cache)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کارهای پس‌زمینه (queue)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Celery/RQ</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دامنه‌ها (domain-*)</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منطق دامنه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پایتون</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مخزن‌ها/یکپارچه‌سازی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ارتباط و تبدیل 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نگاشت داده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بررسی امضا</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تیکت/پیگیری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پیامک/ایمیل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قراردادهای API (نمونه)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مسیر خدمت</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GET /search</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جستجو و نتایج صفحه‌بندی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/bookings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ایجاد سفارش/شروع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/payments/callback</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 و راستی‌آزمایی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/refunds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استرداد</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/wallet/topup</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کیف پول</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/support/tickets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تیکت</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داده (اختیاری)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576572"/>
            <wp:effectExtent l="0" t="0" r="0" b="0"/>
            <wp:wrapSquare wrapText="largest"/>
            <wp:docPr id="1015" name="image-fig-9-1.png" descr=""/>
            <wp:cNvGraphicFramePr>
              <a:graphicFrameLocks noChangeAspect="1"/>
            </wp:cNvGraphicFramePr>
            <a:graphic>
              <a:graphicData uri="http://schemas.openxmlformats.org/drawingml/2006/picture">
                <pic:pic>
                  <pic:nvPicPr>
                    <pic:cNvPr id="1015" name="image-fig-9-1.png" descr=""/>
                    <pic:cNvPicPr>
                      <a:picLocks noChangeAspect="1" noChangeArrowheads="1"/>
                    </pic:cNvPicPr>
                  </pic:nvPicPr>
                  <pic:blipFill>
                    <a:blip r:embed="rId28" cstate="print"/>
                    <a:stretch>
                      <a:fillRect/>
                    </a:stretch>
                  </pic:blipFill>
                  <pic:spPr bwMode="auto">
                    <a:xfrm>
                      <a:off x="0" y="0"/>
                      <a:ext cx="5943600" cy="457657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pPr>
        <w:pStyle w:val="Heading1"/>
        <w:spacing w:before="100" w:beforeAutospacing="1" w:after="100" w:afterAutospacing="1" w:line="360" w:lineRule="auto"/>
        <w:jc w:val="lowKashida"/>
        <w:rPr>
          <w:rFonts w:cs="B Nazanin"/>
          <w:rtl/>
          <w:lang w:bidi="fa-IR"/>
        </w:rPr>
      </w:pPr>
      <w:r>
        <w:rPr>
          <w:rFonts w:cs="B Nazanin"/>
          <w:rtl/>
          <w:lang w:bidi="fa-IR"/>
        </w:rPr>
        <w:t>کارایی</w:t>
      </w:r>
    </w:p>
    <w:p>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pPr>
        <w:pStyle w:val="Heading2"/>
        <w:spacing w:before="100" w:beforeAutospacing="1" w:after="100" w:afterAutospacing="1" w:line="360" w:lineRule="auto"/>
        <w:jc w:val="lowKashida"/>
        <w:rPr>
          <w:rFonts w:cs="B Nazanin"/>
          <w:rtl/>
          <w:lang w:bidi="fa-IR"/>
        </w:rPr>
      </w:pPr>
      <w:r>
        <w:rPr>
          <w:rFonts w:cs="B Nazanin"/>
          <w:rtl/>
          <w:lang w:bidi="fa-IR"/>
        </w:rPr>
        <w:t>تنظیمات پیشنهادی (اجرایی)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مقدار پیشنهادی</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۱۰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کاهش بار تماس با تأمین‌کنندگان و بهبود زمان پاسخ در بازه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۲٫۵ ثانیه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 بار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فقط برای خطاهای موقت؛ با فاصله زمانی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۱۵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قفل شدن منابع و مدیریت سفارش‌های نیمه‌کاره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۲۴ ساعت</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بی‌اثر کردن بازگشت‌های تکراری و جلوگیری از پردازش دوباره</w:t>
            </w:r>
          </w:p>
        </w:tc>
      </w:tr>
    </w:tbl>
    <w:p>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گلوگاه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ریسک</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 کند/قطع</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افزایش زمان پاسخ</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 قطع‌کننده مدار سبک</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تکرار/تقلب</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خودکار + تیکت پشتیبانی</w:t>
            </w:r>
          </w:p>
        </w:tc>
      </w:tr>
    </w:tbl>
    <w:p>
      <w:pPr>
        <w:pStyle w:val="Heading1"/>
        <w:spacing w:before="100" w:beforeAutospacing="1" w:after="100" w:afterAutospacing="1" w:line="360" w:lineRule="auto"/>
        <w:jc w:val="lowKashida"/>
        <w:rPr>
          <w:rFonts w:cs="B Nazanin"/>
          <w:rtl/>
          <w:lang w:bidi="fa-IR"/>
        </w:rPr>
      </w:pPr>
      <w:r>
        <w:rPr>
          <w:rFonts w:cs="B Nazanin"/>
          <w:rtl/>
          <w:lang w:bidi="fa-IR"/>
        </w:rPr>
        <w:t>کیفیت</w:t>
      </w:r>
    </w:p>
    <w:p>
      <w:pPr>
        <w:pStyle w:val="Heading2"/>
        <w:spacing w:before="100" w:beforeAutospacing="1" w:after="100" w:afterAutospacing="1" w:line="360" w:lineRule="auto"/>
        <w:jc w:val="lowKashida"/>
        <w:rPr>
          <w:rFonts w:cs="B Nazanin"/>
          <w:rtl/>
          <w:lang w:bidi="fa-IR"/>
        </w:rPr>
      </w:pPr>
      <w:r>
        <w:rPr>
          <w:rFonts w:cs="B Nazanin"/>
          <w:rtl/>
          <w:lang w:bidi="fa-IR"/>
        </w:rPr>
        <w:t>امنیت</w:t>
      </w:r>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p>
      <w:pPr>
        <w:pStyle w:val="Heading1"/>
        <w:spacing w:before="100" w:beforeAutospacing="1" w:after="100" w:afterAutospacing="1" w:line="360" w:lineRule="auto"/>
        <w:jc w:val="lowKashida"/>
        <w:rPr>
          <w:rFonts w:cs="B Nazanin"/>
          <w:rtl/>
          <w:lang w:bidi="fa-IR"/>
        </w:rPr>
      </w:pPr>
      <w:r>
        <w:rPr>
          <w:rFonts w:cs="B Nazanin"/>
          <w:rtl/>
          <w:lang w:bidi="fa-IR"/>
        </w:rPr>
        <w:t>پیوست - چک‌لیست تحویل</w:t>
      </w:r>
    </w:p>
    <w:p>
      <w:pPr>
        <w:spacing w:before="100" w:beforeAutospacing="1" w:after="100" w:afterAutospacing="1" w:line="360" w:lineRule="auto"/>
        <w:jc w:val="both"/>
        <w:rPr>
          <w:rFonts w:cs="B Nazanin"/>
          <w:rtl/>
          <w:lang w:bidi="fa-IR"/>
        </w:rPr>
      </w:pPr>
      <w:r>
        <w:rPr>
          <w:rFonts w:cs="B Nazanin"/>
          <w:rtl/>
          <w:lang w:bidi="fa-IR"/>
        </w:rPr>
        <w:t>پیش از تحویل نهایی، چند مورد بازبینی می‌شود: کامل بودن تاریخچه بازبینی، قرار گرفتن همه نمودارها در محل‌های مربوط، درستی شماره‌گذاری بخش‌ها و شکل‌ها، و خوانایی جدول‌ها و تصاویر در خروجی ورد و پی‌دی‌اف.</w:t>
      </w:r>
    </w:p>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ns2:paraId="69DB83C4" ns2:textId="77777777" w:rsidTr="00F6497D">
      <w:trPr>
        <w:jc w:val="center"/>
      </w:trPr>
      <w:tc>
        <w:tcPr>
          <w:tcW w:w="2230" w:type="dxa"/>
        </w:tcPr>
        <w:p ns2:paraId="63B8F92A" ns2: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ns2:paraId="4A3BA509" ns2: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‏2026</w:t>
          </w:r>
          <w:r w:rsidRPr="00367D54">
            <w:rPr>
              <w:rFonts w:cs="B Nazanin"/>
              <w:rtl/>
            </w:rPr>
            <w:fldChar w:fldCharType="end"/>
          </w:r>
          <w:r>
            <w:rPr>
              <w:rFonts w:cs="B Nazanin" w:hint="cs"/>
              <w:rtl/>
              <w:lang w:bidi="fa-IR"/>
            </w:rPr>
            <w:t>، سامانه مارکوپولو</w:t>
          </w:r>
        </w:p>
      </w:tc>
      <w:tc>
        <w:tcPr>
          <w:tcW w:w="1148" w:type="dxa"/>
        </w:tcPr>
        <w:p ns2:paraId="6D372FDF" ns2:textId="77777777" w:rsidR="00772020" w:rsidRPr="00367D54" w:rsidRDefault="00772020" w:rsidP="00AB05F3">
          <w:pPr>
            <w:pStyle w:val="Footer"/>
            <w:rPr>
              <w:rFonts w:cs="B Nazanin"/>
              <w:rtl/>
            </w:rPr>
          </w:pPr>
        </w:p>
      </w:tc>
      <w:tc>
        <w:tcPr>
          <w:tcW w:w="1372" w:type="dxa"/>
        </w:tcPr>
        <w:p ns2:paraId="79346389" ns2: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ns2:paraId="255ADFEE" ns2: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ns2:paraId="6D22E57C"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232AF72C" ns2: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مارکوپولو</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42590BB5" ns2: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ns2:paraId="0659D2D0"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6ECAB1DE" ns2: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71167A2C" ns2: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22</w:t>
          </w:r>
          <w:r w:rsidRPr="00AA7C85">
            <w:rPr>
              <w:rFonts w:hint="cs"/>
              <w:color w:val="767171" w:themeColor="background2" w:themeShade="80"/>
              <w:rtl/>
            </w:rPr>
            <w:t>/</w:t>
          </w:r>
          <w:r>
            <w:rPr>
              <w:rFonts w:hint="cs"/>
              <w:color w:val="767171" w:themeColor="background2" w:themeShade="80"/>
              <w:rtl/>
            </w:rPr>
            <w:t>11</w:t>
          </w:r>
          <w:r w:rsidRPr="00AA7C85">
            <w:rPr>
              <w:rFonts w:hint="cs"/>
              <w:color w:val="767171" w:themeColor="background2" w:themeShade="80"/>
              <w:rtl/>
            </w:rPr>
            <w:t>/140</w:t>
          </w:r>
          <w:r>
            <w:rPr>
              <w:rFonts w:hint="cs"/>
              <w:color w:val="767171" w:themeColor="background2" w:themeShade="80"/>
              <w:rtl/>
            </w:rPr>
            <w:t>4</w:t>
          </w:r>
        </w:p>
      </w:tc>
    </w:tr>
  </w:tbl>
  <w:p ns2:paraId="3EF92D89" ns2: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o:colormru v:ext="edit" colors="#f8f8f8,white"/>
    </o: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f8f8f8,white"/>
    </o:shapedefaults>
    <o:shapelayout v:ext="edit">
      <o:idmap v:ext="edit" data="2"/>
    </o:shapelayout>
  </w:shapeDefaults>
  <w:decimalSymbol w:val="."/>
  <w:listSeparator w:val=","/>
  <w14:docId w14:val="61A06A10"/>
  <w15:chartTrackingRefBased/>
  <w15:docId w15:val="{0ABACAB5-ACE8-4991-BD41-E15089B21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4-5.png" /><Relationship Id="rId21" Type="http://schemas.openxmlformats.org/officeDocument/2006/relationships/image" Target="media/image-fig-4-6.png" /><Relationship Id="rId22" Type="http://schemas.openxmlformats.org/officeDocument/2006/relationships/image" Target="media/image-fig-4-7.png" /><Relationship Id="rId23" Type="http://schemas.openxmlformats.org/officeDocument/2006/relationships/image" Target="media/image-fig-4-8.png" /><Relationship Id="rId24" Type="http://schemas.openxmlformats.org/officeDocument/2006/relationships/image" Target="media/image-fig-4-9.png" /><Relationship Id="rId25" Type="http://schemas.openxmlformats.org/officeDocument/2006/relationships/image" Target="media/image-fig-5-1.png" /><Relationship Id="rId26" Type="http://schemas.openxmlformats.org/officeDocument/2006/relationships/image" Target="media/image-fig-5-2.png" /><Relationship Id="rId27" Type="http://schemas.openxmlformats.org/officeDocument/2006/relationships/image" Target="media/image-fig-7-1.png" /><Relationship Id="rId28"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