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2026-02-10</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w:t>
      </w:r>
    </w:p>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درگاه بانکی و سامانه بیرونی پشتیبانی است. این سامانه‌ها به‌عنوان سرویس‌های بیرونی مصرف می‌شوند و در معماری صرفاً از منظر قراردادهای تبادل داده، مدیریت خطا، مهلت زمانی پاسخ و امنیت ارتباطات تحلیل می‌شوند. زیرساخت پیامک/ایمیل نیز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43573"/>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344357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347775"/>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734777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68383"/>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306838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332863"/>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233286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63936"/>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4063936"/>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برای UC-01.</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044630"/>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504463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برای UC-02.</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791294"/>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579129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حالت سفارش (وضعیت‌های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۱ (ساده): UC-01 جست‌وجوی خدمات سفر</w:t>
      </w:r>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۲ (پیچیده): UC-02 خرید بلیت</w:t>
      </w:r>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100" w:beforeAutospacing="1" w:after="100" w:afterAutospacing="1" w:line="360" w:lineRule="auto"/>
        <w:jc w:val="lowKashida"/>
        <w:rPr>
          <w:rFonts w:cs="B Nazanin"/>
          <w:rtl/>
          <w:lang w:bidi="fa-IR"/>
        </w:rPr>
      </w:pPr>
      <w:r>
        <w:rPr>
          <w:rFonts w:cs="B Nazanin"/>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199917"/>
            <wp:effectExtent l="0" t="0" r="0" b="0"/>
            <wp:wrapSquare wrapText="largest"/>
            <wp:docPr id="1007" name="image-fig-5-1.png" descr=""/>
            <wp:cNvGraphicFramePr>
              <a:graphicFrameLocks noChangeAspect="1"/>
            </wp:cNvGraphicFramePr>
            <a:graphic>
              <a:graphicData uri="http://schemas.openxmlformats.org/drawingml/2006/picture">
                <pic:pic>
                  <pic:nvPicPr>
                    <pic:cNvPr id="1007" name="image-fig-5-1.png" descr=""/>
                    <pic:cNvPicPr>
                      <a:picLocks noChangeAspect="1" noChangeArrowheads="1"/>
                    </pic:cNvPicPr>
                  </pic:nvPicPr>
                  <pic:blipFill>
                    <a:blip r:embed="rId20" cstate="print"/>
                    <a:stretch>
                      <a:fillRect/>
                    </a:stretch>
                  </pic:blipFill>
                  <pic:spPr bwMode="auto">
                    <a:xfrm>
                      <a:off x="0" y="0"/>
                      <a:ext cx="5943600" cy="619991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سطح‌بالا (در صورت نیاز).</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08" name="image-fig-7-1.png" descr=""/>
            <wp:cNvGraphicFramePr>
              <a:graphicFrameLocks noChangeAspect="1"/>
            </wp:cNvGraphicFramePr>
            <a:graphic>
              <a:graphicData uri="http://schemas.openxmlformats.org/drawingml/2006/picture">
                <pic:pic>
                  <pic:nvPicPr>
                    <pic:cNvPr id="1008" name="image-fig-7-1.png" descr=""/>
                    <pic:cNvPicPr>
                      <a:picLocks noChangeAspect="1" noChangeArrowheads="1"/>
                    </pic:cNvPicPr>
                  </pic:nvPicPr>
                  <pic:blipFill>
                    <a:blip r:embed="rId21"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09" name="image-fig-9-1.png" descr=""/>
            <wp:cNvGraphicFramePr>
              <a:graphicFrameLocks noChangeAspect="1"/>
            </wp:cNvGraphicFramePr>
            <a:graphic>
              <a:graphicData uri="http://schemas.openxmlformats.org/drawingml/2006/picture">
                <pic:pic>
                  <pic:nvPicPr>
                    <pic:cNvPr id="1009" name="image-fig-9-1.png" descr=""/>
                    <pic:cNvPicPr>
                      <a:picLocks noChangeAspect="1" noChangeArrowheads="1"/>
                    </pic:cNvPicPr>
                  </pic:nvPicPr>
                  <pic:blipFill>
                    <a:blip r:embed="rId22"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p>
    <w:p>
      <w:pPr>
        <w:spacing w:before="100" w:beforeAutospacing="1" w:after="100" w:afterAutospacing="1" w:line="360" w:lineRule="auto"/>
        <w:jc w:val="both"/>
        <w:rPr>
          <w:rFonts w:cs="B Nazanin"/>
          <w:rtl/>
          <w:lang w:bidi="fa-IR"/>
        </w:rPr>
      </w:pPr>
      <w:r>
        <w:rPr>
          <w:rFonts w:cs="B Nazanin"/>
          <w:rtl/>
          <w:lang w:bidi="fa-IR"/>
        </w:rPr>
        <w:t>پیش از تحویل نهایی، چند مورد بازبینی می‌شود: کامل بودن تاریخچه بازبینی، قرار گرفتن همه نمودارها در محل‌های مربوط، درستی شماره‌گذاری بخش‌ها و شکل‌ها، و خوانایی جدول‌ها و تصاویر در خروجی ورد و پی‌دی‌اف.</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w14:paraId="69DB83C4" w14:textId="77777777" w:rsidTr="00F6497D">
      <w:trPr>
        <w:jc w:val="center"/>
      </w:trPr>
      <w:tc>
        <w:tcPr>
          <w:tcW w:w="2230" w:type="dxa"/>
        </w:tcPr>
        <w:p w14:paraId="63B8F92A" w14: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w14:paraId="4A3BA509" w14: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‏2025</w:t>
          </w:r>
          <w:r w:rsidRPr="00367D54">
            <w:rPr>
              <w:rFonts w:cs="B Nazanin"/>
              <w:rtl/>
            </w:rPr>
            <w:fldChar w:fldCharType="end"/>
          </w:r>
          <w:r>
            <w:rPr>
              <w:rFonts w:cs="B Nazanin" w:hint="cs"/>
              <w:rtl/>
              <w:lang w:bidi="fa-IR"/>
            </w:rPr>
            <w:t>، سامانه ...</w:t>
          </w:r>
        </w:p>
      </w:tc>
      <w:tc>
        <w:tcPr>
          <w:tcW w:w="1148" w:type="dxa"/>
        </w:tcPr>
        <w:p w14:paraId="6D372FDF" w14:textId="77777777" w:rsidR="00772020" w:rsidRPr="00367D54" w:rsidRDefault="00772020" w:rsidP="00AB05F3">
          <w:pPr>
            <w:pStyle w:val="Footer"/>
            <w:rPr>
              <w:rFonts w:cs="B Nazanin"/>
              <w:rtl/>
            </w:rPr>
          </w:pPr>
        </w:p>
      </w:tc>
      <w:tc>
        <w:tcPr>
          <w:tcW w:w="1372" w:type="dxa"/>
        </w:tcPr>
        <w:p w14:paraId="79346389" w14: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w14:paraId="255ADFEE" w14: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w14:paraId="6D22E57C" w14: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232AF72C" w14: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2590BB5" w14: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w14:paraId="0659D2D0" w14: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6ECAB1DE" w14: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71167A2C" w14: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28</w:t>
          </w:r>
          <w:r w:rsidRPr="00AA7C85">
            <w:rPr>
              <w:rFonts w:hint="cs"/>
              <w:color w:val="767171" w:themeColor="background2" w:themeShade="80"/>
              <w:rtl/>
            </w:rPr>
            <w:t>/</w:t>
          </w:r>
          <w:r>
            <w:rPr>
              <w:rFonts w:hint="cs"/>
              <w:color w:val="767171" w:themeColor="background2" w:themeShade="80"/>
              <w:rtl/>
            </w:rPr>
            <w:t>09</w:t>
          </w:r>
          <w:r w:rsidRPr="00AA7C85">
            <w:rPr>
              <w:rFonts w:hint="cs"/>
              <w:color w:val="767171" w:themeColor="background2" w:themeShade="80"/>
              <w:rtl/>
            </w:rPr>
            <w:t>/140</w:t>
          </w:r>
          <w:r>
            <w:rPr>
              <w:rFonts w:hint="cs"/>
              <w:color w:val="767171" w:themeColor="background2" w:themeShade="80"/>
              <w:rtl/>
            </w:rPr>
            <w:t>3</w:t>
          </w:r>
        </w:p>
      </w:tc>
    </w:tr>
  </w:tbl>
  <w:p w14:paraId="3EF92D89" w14: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o:colormru v:ext="edit" colors="#f8f8f8,white"/>
    </o: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8f8f8,white"/>
    </o:shapedefaults>
    <o:shapelayout v:ext="edit">
      <o:idmap v:ext="edit" data="2"/>
    </o:shapelayout>
  </w:shapeDefaults>
  <w:decimalSymbol w:val="."/>
  <w:listSeparator w:val=","/>
  <w14:docId w14:val="61A06A10"/>
  <w15:chartTrackingRefBased/>
  <w15:docId w15:val="{0ABACAB5-ACE8-4991-BD41-E15089B21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5-1.png" /><Relationship Id="rId21" Type="http://schemas.openxmlformats.org/officeDocument/2006/relationships/image" Target="media/image-fig-7-1.png" /><Relationship Id="rId22"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