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749"/>
      </w:tblGrid>
      <w:tr>
        <w:tc>
          <w:tcPr>
            <w:tcW w:type="dxa" w:w="9792"/>
            <w:shd w:fill="0F1E36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bidi w:val="1"/>
              <w:spacing w:before="0" w:after="0"/>
              <w:jc w:val="center"/>
            </w:pPr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1"/>
              </w:rPr>
              <w:t>طبقه‌بندی: محرمانه تجاری  |  اسناد راهبردی مهندسی و بازرگانی</w:t>
            </w:r>
          </w:p>
        </w:tc>
      </w:tr>
    </w:tbl>
    <w:p>
      <w:pPr>
        <w:spacing w:before="0" w:after="80"/>
      </w:pPr>
    </w:p>
    <w:p>
      <w:pPr>
        <w:spacing w:before="600" w:after="0"/>
      </w:pPr>
    </w:p>
    <w:p>
      <w:pPr>
        <w:bidi w:val="1"/>
        <w:spacing w:before="0" w:after="280" w:line="324" w:lineRule="auto"/>
        <w:jc w:val="center"/>
      </w:pPr>
      <w:r>
        <w:rPr>
          <w:rFonts w:ascii="Tahoma" w:hAnsi="Tahoma" w:cs="Tahoma"/>
          <w:b/>
          <w:i w:val="0"/>
          <w:color w:val="0F1E36"/>
          <w:sz w:val="46"/>
          <w:rtl w:val="1"/>
        </w:rPr>
        <w:t>سامانه هوشمند مدیریت و هدایت</w:t>
        <w:br/>
        <w:t>استعلام‌های مهندسی آتبین ایستا</w:t>
      </w:r>
    </w:p>
    <w:p>
      <w:pPr>
        <w:bidi w:val="1"/>
        <w:spacing w:before="0" w:after="400"/>
        <w:jc w:val="center"/>
      </w:pPr>
      <w:r>
        <w:rPr>
          <w:rFonts w:ascii="Tahoma" w:hAnsi="Tahoma" w:cs="Tahoma"/>
          <w:b/>
          <w:i w:val="0"/>
          <w:color w:val="0284C7"/>
          <w:sz w:val="28"/>
          <w:rtl w:val="1"/>
        </w:rPr>
        <w:t>اولین گام در ایجاد زیرساخت هوشمند مدیریت فرآیندهای مهندسی، فروش و عملیات سازمانی آتبین ایستا</w:t>
      </w:r>
    </w:p>
    <w:p>
      <w:pPr>
        <w:bidi w:val="1"/>
        <w:spacing w:before="0" w:after="400"/>
        <w:jc w:val="center"/>
      </w:pPr>
      <w:r>
        <w:rPr>
          <w:rFonts w:ascii="Tahoma" w:hAnsi="Tahoma" w:cs="Tahoma"/>
          <w:b/>
          <w:i w:val="0"/>
          <w:color w:val="0284C7"/>
          <w:sz w:val="21"/>
          <w:rtl w:val="1"/>
        </w:rPr>
        <w:t>مبتنی بر تحلیل هوشمند اسناد مهندسی، دانش فنی محصولات و یکپارچه‌سازی با Sarv CRM</w:t>
      </w:r>
    </w:p>
    <w:p>
      <w:pPr>
        <w:bidi w:val="1"/>
        <w:spacing w:before="0" w:after="2400"/>
        <w:jc w:val="center"/>
      </w:pPr>
      <w:r>
        <w:rPr>
          <w:rFonts w:ascii="Tahoma" w:hAnsi="Tahoma" w:cs="Tahoma"/>
          <w:b w:val="0"/>
          <w:i/>
          <w:color w:val="64748B"/>
          <w:sz w:val="19"/>
          <w:rtl w:val="1"/>
        </w:rPr>
        <w:t>طرح جامع معماری جریان داده‌ها، هوش اسناد و استقرار فاز نخست (Enterprise Production MVP)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448"/>
            <w:shd w:fill="0F1E36"/>
            <w:tcMar>
              <w:top w:w="70" w:type="dxa"/>
              <w:bottom w:w="70" w:type="dxa"/>
              <w:left w:w="60" w:type="dxa"/>
              <w:right w:w="60" w:type="dxa"/>
            </w:tcMar>
            <w:tcBorders>
              <w:top w:val="single" w:sz="6" w:space="0" w:color="0F1E36"/>
              <w:bottom w:val="single" w:sz="6" w:space="0" w:color="0F1E36"/>
              <w:left w:val="single" w:sz="6" w:space="0" w:color="0F1E36"/>
              <w:right w:val="single" w:sz="6" w:space="0" w:color="0F1E36"/>
            </w:tcBorders>
          </w:tcPr>
          <w:p>
            <w:pPr>
              <w:bidi w:val="1"/>
              <w:spacing w:before="0" w:after="0"/>
              <w:jc w:val="center"/>
            </w:pPr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1"/>
              </w:rPr>
              <w:t>کارفرما</w:t>
            </w:r>
          </w:p>
        </w:tc>
        <w:tc>
          <w:tcPr>
            <w:tcW w:type="dxa" w:w="2448"/>
            <w:shd w:fill="0F1E36"/>
            <w:tcMar>
              <w:top w:w="70" w:type="dxa"/>
              <w:bottom w:w="70" w:type="dxa"/>
              <w:left w:w="60" w:type="dxa"/>
              <w:right w:w="60" w:type="dxa"/>
            </w:tcMar>
            <w:tcBorders>
              <w:top w:val="single" w:sz="6" w:space="0" w:color="0F1E36"/>
              <w:bottom w:val="single" w:sz="6" w:space="0" w:color="0F1E36"/>
              <w:left w:val="single" w:sz="6" w:space="0" w:color="0F1E36"/>
              <w:right w:val="single" w:sz="6" w:space="0" w:color="0F1E36"/>
            </w:tcBorders>
          </w:tcPr>
          <w:p>
            <w:pPr>
              <w:bidi w:val="1"/>
              <w:spacing w:before="0" w:after="0"/>
              <w:jc w:val="center"/>
            </w:pPr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1"/>
              </w:rPr>
              <w:t>نوع سند</w:t>
            </w:r>
          </w:p>
        </w:tc>
        <w:tc>
          <w:tcPr>
            <w:tcW w:type="dxa" w:w="2448"/>
            <w:shd w:fill="0F1E36"/>
            <w:tcMar>
              <w:top w:w="70" w:type="dxa"/>
              <w:bottom w:w="70" w:type="dxa"/>
              <w:left w:w="60" w:type="dxa"/>
              <w:right w:w="60" w:type="dxa"/>
            </w:tcMar>
            <w:tcBorders>
              <w:top w:val="single" w:sz="6" w:space="0" w:color="0F1E36"/>
              <w:bottom w:val="single" w:sz="6" w:space="0" w:color="0F1E36"/>
              <w:left w:val="single" w:sz="6" w:space="0" w:color="0F1E36"/>
              <w:right w:val="single" w:sz="6" w:space="0" w:color="0F1E36"/>
            </w:tcBorders>
          </w:tcPr>
          <w:p>
            <w:pPr>
              <w:bidi w:val="1"/>
              <w:spacing w:before="0" w:after="0"/>
              <w:jc w:val="center"/>
            </w:pPr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1"/>
              </w:rPr>
              <w:t>نسخه سند</w:t>
            </w:r>
          </w:p>
        </w:tc>
        <w:tc>
          <w:tcPr>
            <w:tcW w:type="dxa" w:w="2448"/>
            <w:shd w:fill="0F1E36"/>
            <w:tcMar>
              <w:top w:w="70" w:type="dxa"/>
              <w:bottom w:w="70" w:type="dxa"/>
              <w:left w:w="60" w:type="dxa"/>
              <w:right w:w="60" w:type="dxa"/>
            </w:tcMar>
            <w:tcBorders>
              <w:top w:val="single" w:sz="6" w:space="0" w:color="0F1E36"/>
              <w:bottom w:val="single" w:sz="6" w:space="0" w:color="0F1E36"/>
              <w:left w:val="single" w:sz="6" w:space="0" w:color="0F1E36"/>
              <w:right w:val="single" w:sz="6" w:space="0" w:color="0F1E36"/>
            </w:tcBorders>
          </w:tcPr>
          <w:p>
            <w:pPr>
              <w:bidi w:val="1"/>
              <w:spacing w:before="0" w:after="0"/>
              <w:jc w:val="center"/>
            </w:pPr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1"/>
              </w:rPr>
              <w:t>تاریخ تدوین</w:t>
            </w:r>
          </w:p>
        </w:tc>
      </w:tr>
      <w:tr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/>
              <w:jc w:val="center"/>
            </w:pPr>
            <w:r>
              <w:rPr>
                <w:rFonts w:ascii="Tahoma" w:hAnsi="Tahoma" w:cs="Tahoma"/>
                <w:b w:val="0"/>
                <w:i w:val="0"/>
                <w:color w:val="334155"/>
                <w:sz w:val="18"/>
                <w:rtl w:val="1"/>
              </w:rPr>
              <w:t>شرکت فنی و مهندسی آتبین ایستا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/>
              <w:jc w:val="center"/>
            </w:pPr>
            <w:r>
              <w:rPr>
                <w:rFonts w:ascii="Tahoma" w:hAnsi="Tahoma" w:cs="Tahoma"/>
                <w:b w:val="0"/>
                <w:i w:val="0"/>
                <w:color w:val="334155"/>
                <w:sz w:val="18"/>
                <w:rtl w:val="1"/>
              </w:rPr>
              <w:t>گزارش نمونه استاندارد سازمانی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/>
              <w:jc w:val="center"/>
            </w:pPr>
            <w:r>
              <w:rPr>
                <w:rFonts w:ascii="Tahoma" w:hAnsi="Tahoma" w:cs="Tahoma"/>
                <w:b w:val="0"/>
                <w:i w:val="0"/>
                <w:color w:val="334155"/>
                <w:sz w:val="18"/>
                <w:rtl w:val="1"/>
              </w:rPr>
              <w:t>نسخه ۱٫۰ مصوب</w:t>
            </w:r>
          </w:p>
        </w:tc>
        <w:tc>
          <w:tcPr>
            <w:tcW w:type="dxa" w:w="244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/>
              <w:jc w:val="center"/>
            </w:pPr>
            <w:r>
              <w:rPr>
                <w:rFonts w:ascii="Tahoma" w:hAnsi="Tahoma" w:cs="Tahoma"/>
                <w:b w:val="0"/>
                <w:i w:val="0"/>
                <w:color w:val="334155"/>
                <w:sz w:val="18"/>
                <w:rtl w:val="1"/>
              </w:rPr>
              <w:t>شهریور ۱۴۰۵ (سپتامبر ۲۰۲۶)</w:t>
            </w:r>
          </w:p>
        </w:tc>
      </w:tr>
    </w:tbl>
    <w:p>
      <w:r>
        <w:br w:type="page"/>
      </w:r>
    </w:p>
    <w:p>
      <w:pPr>
        <w:bidi w:val="1"/>
        <w:spacing w:before="280" w:after="80"/>
        <w:jc w:val="right"/>
      </w:pPr>
      <w:r>
        <w:rPr>
          <w:rFonts w:ascii="Tahoma" w:hAnsi="Tahoma" w:cs="Tahoma"/>
          <w:b/>
          <w:i w:val="0"/>
          <w:color w:val="0F1E36"/>
          <w:sz w:val="40"/>
          <w:rtl w:val="1"/>
        </w:rPr>
        <w:t>بخش ۱: طرح مدیریتی و اجرایی سامانه هوشمند</w:t>
      </w:r>
    </w:p>
    <w:p>
      <w:pPr>
        <w:bidi w:val="1"/>
        <w:spacing w:before="200" w:after="60"/>
        <w:jc w:val="right"/>
      </w:pPr>
      <w:r>
        <w:rPr>
          <w:rFonts w:ascii="Tahoma" w:hAnsi="Tahoma" w:cs="Tahoma"/>
          <w:b/>
          <w:i w:val="0"/>
          <w:color w:val="0284C7"/>
          <w:sz w:val="28"/>
          <w:rtl w:val="1"/>
        </w:rPr>
        <w:t>فصل ۱: خلاصه مدیریتی، ارزش‌های راهبردی و نقشه تحول دیجیتال</w:t>
      </w:r>
    </w:p>
    <w:p>
      <w:pPr>
        <w:bidi w:val="1"/>
        <w:spacing w:before="0" w:after="80" w:line="283" w:lineRule="auto"/>
        <w:jc w:val="both"/>
      </w:pPr>
      <w:r>
        <w:rPr>
          <w:rFonts w:ascii="Tahoma" w:hAnsi="Tahoma" w:cs="Tahoma"/>
          <w:b/>
          <w:i w:val="0"/>
          <w:color w:val="0F1E36"/>
          <w:sz w:val="18"/>
          <w:rtl w:val="1"/>
        </w:rPr>
        <w:t xml:space="preserve">جایگاه استراتژیک در زنجیره ارزش: </w:t>
      </w:r>
      <w:r>
        <w:rPr>
          <w:rFonts w:ascii="Tahoma" w:hAnsi="Tahoma" w:cs="Tahoma"/>
          <w:b w:val="0"/>
          <w:i w:val="0"/>
          <w:color w:val="334155"/>
          <w:sz w:val="17"/>
          <w:rtl w:val="1"/>
        </w:rPr>
        <w:t>شرکت‌های فعال در زنجیره تامین صنایع بالادستی نفت، گاز و پتروشیمی روزانه با حجم چشمگیری از استعلام‌های خرید (RFQ)، اسناد مناقصه و مکاتبات مهندسی مواجه هستند. در این عرصه فوق‌تخصصی، سرعت و دقت در ارزیابی اولیه، تشخیص دپارتمان تخصصی، استخراج مشخصات فنی کالا و ارجاع به‌موقع درخواست‌ها، مرز باریک میان پیروزی در قراردادهای بزرگ صنعتی یا حذف از زنجیره تامین کارفرمایان است.</w:t>
      </w:r>
    </w:p>
    <w:p>
      <w:pPr>
        <w:bidi w:val="1"/>
        <w:spacing w:before="0" w:after="80" w:line="283" w:lineRule="auto"/>
        <w:jc w:val="both"/>
      </w:pPr>
      <w:r>
        <w:rPr>
          <w:rFonts w:ascii="Tahoma" w:hAnsi="Tahoma" w:cs="Tahoma"/>
          <w:b/>
          <w:i w:val="0"/>
          <w:color w:val="0F1E36"/>
          <w:sz w:val="18"/>
          <w:rtl w:val="1"/>
        </w:rPr>
        <w:t xml:space="preserve">جایگاه فاز نخست در نقشه تحول دیجیتال: </w:t>
      </w:r>
      <w:r>
        <w:rPr>
          <w:rFonts w:ascii="Tahoma" w:hAnsi="Tahoma" w:cs="Tahoma"/>
          <w:b w:val="0"/>
          <w:i w:val="0"/>
          <w:color w:val="334155"/>
          <w:sz w:val="17"/>
          <w:rtl w:val="1"/>
        </w:rPr>
        <w:t>فاز نخست این پروژه به عنوان هسته اولیه معماری تحول دیجیتال فرآیندهای مهندسی و بازرگانی آتبین ایستا طراحی می‌شود. این سامانه به عنوان یک شتاب‌دهنده فرآیندی در کنار کارشناسان عمل کرده و با تحلیل اسناد، تطبیق با کاتالوگ‌های ۵‌گانه آتبین ایستا و سنجش ضریب اطمینان، پرونده کامل استعلام را همراه با جدول اقلام در نرم‌افزار سازمانی Sarv CRM ثبت می‌نماید.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749"/>
      </w:tblGrid>
      <w:tr>
        <w:tc>
          <w:tcPr>
            <w:tcW w:type="dxa" w:w="9792"/>
            <w:shd w:fill="EFF6FF"/>
            <w:tcBorders>
              <w:top w:val="single" w:sz="12" w:space="0" w:color="0284C7"/>
              <w:bottom w:val="single" w:sz="12" w:space="0" w:color="0284C7"/>
              <w:left w:val="single" w:sz="12" w:space="0" w:color="0284C7"/>
              <w:right w:val="single" w:sz="12" w:space="0" w:color="0284C7"/>
            </w:tcBorders>
            <w:tcMar>
              <w:top w:w="80" w:type="dxa"/>
              <w:bottom w:w="80" w:type="dxa"/>
              <w:left w:w="140" w:type="dxa"/>
              <w:right w:w="160" w:type="dxa"/>
            </w:tcMar>
          </w:tcPr>
          <w:p>
            <w:pPr>
              <w:bidi w:val="1"/>
              <w:spacing w:before="0" w:after="0" w:line="283" w:lineRule="auto"/>
              <w:jc w:val="both"/>
            </w:pPr>
            <w:r>
              <w:rPr>
                <w:rFonts w:ascii="Tahoma" w:hAnsi="Tahoma" w:cs="Tahoma"/>
                <w:b/>
                <w:i w:val="0"/>
                <w:color w:val="0F1E36"/>
                <w:sz w:val="19"/>
                <w:rtl w:val="1"/>
              </w:rPr>
              <w:t>رابطه بنیادین استنتاج هوشمند در سامانه آتبین ایستا:</w:t>
              <w:br/>
            </w:r>
            <w:r>
              <w:rPr>
                <w:rFonts w:ascii="Tahoma" w:hAnsi="Tahoma" w:cs="Tahoma"/>
                <w:b w:val="0"/>
                <w:i w:val="0"/>
                <w:color w:val="334155"/>
                <w:sz w:val="17"/>
                <w:rtl w:val="1"/>
              </w:rPr>
              <w:t>تصمیم ارجاع = تطبیق کاتالوگ‌های ۵‌گانه + انطباق استانداردهای ASME/API + سنجش ضریب اطمینان</w:t>
              <w:br/>
              <w:t>در این الگو، هیچ استعلامی بدون شفافیت کامل منشأ و شواهد متنی به CRM ارسال نخواهد شد.</w:t>
            </w:r>
          </w:p>
        </w:tc>
      </w:tr>
    </w:tbl>
    <w:p>
      <w:pPr>
        <w:spacing w:before="0" w:after="80"/>
      </w:pPr>
    </w:p>
    <w:p>
      <w:pPr>
        <w:bidi w:val="1"/>
        <w:spacing w:before="160" w:after="60"/>
        <w:jc w:val="right"/>
      </w:pPr>
      <w:r>
        <w:rPr>
          <w:rFonts w:ascii="Tahoma" w:hAnsi="Tahoma" w:cs="Tahoma"/>
          <w:b/>
          <w:i w:val="0"/>
          <w:color w:val="0284C7"/>
          <w:sz w:val="21"/>
          <w:rtl w:val="1"/>
        </w:rPr>
        <w:t>پنج ارزش راهبردی سامانه برای آتبین ایستا:</w:t>
      </w:r>
    </w:p>
    <w:p>
      <w:pPr>
        <w:bidi w:val="1"/>
        <w:spacing w:before="0" w:after="60" w:line="283" w:lineRule="auto"/>
        <w:jc w:val="both"/>
      </w:pPr>
      <w:r>
        <w:rPr>
          <w:rFonts w:ascii="Tahoma" w:hAnsi="Tahoma" w:cs="Tahoma"/>
          <w:b/>
          <w:i w:val="0"/>
          <w:color w:val="0F1E36"/>
          <w:sz w:val="17"/>
          <w:rtl w:val="1"/>
        </w:rPr>
        <w:t xml:space="preserve">▪ ارزش ۱ (سرعت پاسخگویی): </w:t>
      </w:r>
      <w:r>
        <w:rPr>
          <w:rFonts w:ascii="Tahoma" w:hAnsi="Tahoma" w:cs="Tahoma"/>
          <w:b w:val="0"/>
          <w:i w:val="0"/>
          <w:color w:val="334155"/>
          <w:sz w:val="17"/>
          <w:rtl w:val="1"/>
        </w:rPr>
        <w:t>کاهش زمان تریاژ و آماده‌سازی پرونده از چندین ساعت به کمتر از ۱۵ دقیقه در چرخه کلان.</w:t>
      </w:r>
    </w:p>
    <w:p>
      <w:pPr>
        <w:bidi w:val="1"/>
        <w:spacing w:before="0" w:after="60" w:line="283" w:lineRule="auto"/>
        <w:jc w:val="both"/>
      </w:pPr>
      <w:r>
        <w:rPr>
          <w:rFonts w:ascii="Tahoma" w:hAnsi="Tahoma" w:cs="Tahoma"/>
          <w:b/>
          <w:i w:val="0"/>
          <w:color w:val="0F1E36"/>
          <w:sz w:val="17"/>
          <w:rtl w:val="1"/>
        </w:rPr>
        <w:t xml:space="preserve">▪ ارزش ۲ (ارتقای ظرفیت تیم فروش): </w:t>
      </w:r>
      <w:r>
        <w:rPr>
          <w:rFonts w:ascii="Tahoma" w:hAnsi="Tahoma" w:cs="Tahoma"/>
          <w:b w:val="0"/>
          <w:i w:val="0"/>
          <w:color w:val="334155"/>
          <w:sz w:val="17"/>
          <w:rtl w:val="1"/>
        </w:rPr>
        <w:t>آزادسازی مهندسان ارشد از تایپ دستی ردیف‌های اقلام MTO و معطوف شدن تمرکز به محاسبات فنی.</w:t>
      </w:r>
    </w:p>
    <w:p>
      <w:pPr>
        <w:bidi w:val="1"/>
        <w:spacing w:before="0" w:after="60" w:line="283" w:lineRule="auto"/>
        <w:jc w:val="both"/>
      </w:pPr>
      <w:r>
        <w:rPr>
          <w:rFonts w:ascii="Tahoma" w:hAnsi="Tahoma" w:cs="Tahoma"/>
          <w:b/>
          <w:i w:val="0"/>
          <w:color w:val="0F1E36"/>
          <w:sz w:val="17"/>
          <w:rtl w:val="1"/>
        </w:rPr>
        <w:t xml:space="preserve">▪ ارزش ۳ (کاهش خطای ارجاع): </w:t>
      </w:r>
      <w:r>
        <w:rPr>
          <w:rFonts w:ascii="Tahoma" w:hAnsi="Tahoma" w:cs="Tahoma"/>
          <w:b w:val="0"/>
          <w:i w:val="0"/>
          <w:color w:val="334155"/>
          <w:sz w:val="17"/>
          <w:rtl w:val="1"/>
        </w:rPr>
        <w:t>تصمیم‌گیری بر پایه تطبیق دقیق عبارات متن با ۵ کاتالوگ مهندسی به جای حدس و گمان.</w:t>
      </w:r>
    </w:p>
    <w:p>
      <w:pPr>
        <w:bidi w:val="1"/>
        <w:spacing w:before="0" w:after="60" w:line="283" w:lineRule="auto"/>
        <w:jc w:val="both"/>
      </w:pPr>
      <w:r>
        <w:rPr>
          <w:rFonts w:ascii="Tahoma" w:hAnsi="Tahoma" w:cs="Tahoma"/>
          <w:b/>
          <w:i w:val="0"/>
          <w:color w:val="0F1E36"/>
          <w:sz w:val="17"/>
          <w:rtl w:val="1"/>
        </w:rPr>
        <w:t xml:space="preserve">▪ ارزش ۴ (نهادینه‌سازی دارایی دانشی): </w:t>
      </w:r>
      <w:r>
        <w:rPr>
          <w:rFonts w:ascii="Tahoma" w:hAnsi="Tahoma" w:cs="Tahoma"/>
          <w:b w:val="0"/>
          <w:i w:val="0"/>
          <w:color w:val="334155"/>
          <w:sz w:val="17"/>
          <w:rtl w:val="1"/>
        </w:rPr>
        <w:t>تبدیل دانش تجربی افراد کلیدی سازمان به یک پایگاه دانش دیجیتال پایدار و ضد ضربه.</w:t>
      </w:r>
    </w:p>
    <w:p>
      <w:pPr>
        <w:bidi w:val="1"/>
        <w:spacing w:before="0" w:after="60" w:line="283" w:lineRule="auto"/>
        <w:jc w:val="both"/>
      </w:pPr>
      <w:r>
        <w:rPr>
          <w:rFonts w:ascii="Tahoma" w:hAnsi="Tahoma" w:cs="Tahoma"/>
          <w:b/>
          <w:i w:val="0"/>
          <w:color w:val="0F1E36"/>
          <w:sz w:val="17"/>
          <w:rtl w:val="1"/>
        </w:rPr>
        <w:t xml:space="preserve">▪ ارزش ۵ (استقرار امن محلی): </w:t>
      </w:r>
      <w:r>
        <w:rPr>
          <w:rFonts w:ascii="Tahoma" w:hAnsi="Tahoma" w:cs="Tahoma"/>
          <w:b w:val="0"/>
          <w:i w:val="0"/>
          <w:color w:val="334155"/>
          <w:sz w:val="17"/>
          <w:rtl w:val="1"/>
        </w:rPr>
        <w:t>استقرار کامل محلی درون‌سازمانی (On-Premise) بر روی سرور موجود شرکت HP G8 بدون خروج داده.</w:t>
      </w:r>
    </w:p>
    <w:p>
      <w:pPr>
        <w:bidi w:val="1"/>
        <w:spacing w:before="160" w:after="60"/>
        <w:jc w:val="right"/>
      </w:pPr>
      <w:r>
        <w:rPr>
          <w:rFonts w:ascii="Tahoma" w:hAnsi="Tahoma" w:cs="Tahoma"/>
          <w:b/>
          <w:i w:val="0"/>
          <w:color w:val="0284C7"/>
          <w:sz w:val="21"/>
          <w:rtl w:val="1"/>
        </w:rPr>
        <w:t>جدول ارزیابی شاخص‌های کلیدی هدف (Target SLAs):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50"/>
        <w:gridCol w:w="3250"/>
        <w:gridCol w:w="3250"/>
      </w:tblGrid>
      <w:tr>
        <w:tc>
          <w:tcPr>
            <w:tcW w:type="dxa" w:w="3456"/>
            <w:shd w:fill="0F1E36"/>
            <w:tcMar>
              <w:top w:w="70" w:type="dxa"/>
              <w:bottom w:w="70" w:type="dxa"/>
              <w:left w:w="60" w:type="dxa"/>
              <w:right w:w="60" w:type="dxa"/>
            </w:tcMar>
            <w:tcBorders>
              <w:top w:val="single" w:sz="6" w:space="0" w:color="0F1E36"/>
              <w:bottom w:val="single" w:sz="6" w:space="0" w:color="0F1E36"/>
              <w:left w:val="single" w:sz="6" w:space="0" w:color="0F1E36"/>
              <w:right w:val="single" w:sz="6" w:space="0" w:color="0F1E36"/>
            </w:tcBorders>
          </w:tcPr>
          <w:p>
            <w:pPr>
              <w:bidi w:val="1"/>
              <w:spacing w:before="0" w:after="0"/>
              <w:jc w:val="center"/>
            </w:pPr>
            <w:r>
              <w:rPr>
                <w:rFonts w:ascii="Tahoma" w:hAnsi="Tahoma" w:cs="Tahoma"/>
                <w:b/>
                <w:i w:val="0"/>
                <w:color w:val="FFFFFF"/>
                <w:sz w:val="18"/>
                <w:rtl w:val="1"/>
              </w:rPr>
              <w:t>شاخص کلیدی هدف (Target SLA)</w:t>
            </w:r>
          </w:p>
        </w:tc>
        <w:tc>
          <w:tcPr>
            <w:tcW w:type="dxa" w:w="3168"/>
            <w:shd w:fill="0F1E36"/>
            <w:tcMar>
              <w:top w:w="70" w:type="dxa"/>
              <w:bottom w:w="70" w:type="dxa"/>
              <w:left w:w="60" w:type="dxa"/>
              <w:right w:w="60" w:type="dxa"/>
            </w:tcMar>
            <w:tcBorders>
              <w:top w:val="single" w:sz="6" w:space="0" w:color="0F1E36"/>
              <w:bottom w:val="single" w:sz="6" w:space="0" w:color="0F1E36"/>
              <w:left w:val="single" w:sz="6" w:space="0" w:color="0F1E36"/>
              <w:right w:val="single" w:sz="6" w:space="0" w:color="0F1E36"/>
            </w:tcBorders>
          </w:tcPr>
          <w:p>
            <w:pPr>
              <w:bidi w:val="1"/>
              <w:spacing w:before="0" w:after="0"/>
              <w:jc w:val="center"/>
            </w:pPr>
            <w:r>
              <w:rPr>
                <w:rFonts w:ascii="Tahoma" w:hAnsi="Tahoma" w:cs="Tahoma"/>
                <w:b/>
                <w:i w:val="0"/>
                <w:color w:val="FFFFFF"/>
                <w:sz w:val="18"/>
                <w:rtl w:val="1"/>
              </w:rPr>
              <w:t>وضعیت فرآیند سنتی فعلی</w:t>
            </w:r>
          </w:p>
        </w:tc>
        <w:tc>
          <w:tcPr>
            <w:tcW w:type="dxa" w:w="3168"/>
            <w:shd w:fill="0F1E36"/>
            <w:tcMar>
              <w:top w:w="70" w:type="dxa"/>
              <w:bottom w:w="70" w:type="dxa"/>
              <w:left w:w="60" w:type="dxa"/>
              <w:right w:w="60" w:type="dxa"/>
            </w:tcMar>
            <w:tcBorders>
              <w:top w:val="single" w:sz="6" w:space="0" w:color="0F1E36"/>
              <w:bottom w:val="single" w:sz="6" w:space="0" w:color="0F1E36"/>
              <w:left w:val="single" w:sz="6" w:space="0" w:color="0F1E36"/>
              <w:right w:val="single" w:sz="6" w:space="0" w:color="0F1E36"/>
            </w:tcBorders>
          </w:tcPr>
          <w:p>
            <w:pPr>
              <w:bidi w:val="1"/>
              <w:spacing w:before="0" w:after="0"/>
              <w:jc w:val="center"/>
            </w:pPr>
            <w:r>
              <w:rPr>
                <w:rFonts w:ascii="Tahoma" w:hAnsi="Tahoma" w:cs="Tahoma"/>
                <w:b/>
                <w:i w:val="0"/>
                <w:color w:val="FFFFFF"/>
                <w:sz w:val="18"/>
                <w:rtl w:val="1"/>
              </w:rPr>
              <w:t>هدف‌گذاری با استقرار سامانه هوشمند</w:t>
            </w:r>
          </w:p>
        </w:tc>
      </w:tr>
      <w:tr>
        <w:tc>
          <w:tcPr>
            <w:tcW w:type="dxa" w:w="345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 w:line="276" w:lineRule="auto"/>
              <w:jc w:val="right"/>
            </w:pPr>
            <w:r>
              <w:rPr>
                <w:rFonts w:ascii="Tahoma" w:hAnsi="Tahoma" w:cs="Tahoma"/>
                <w:b/>
                <w:i w:val="0"/>
                <w:color w:val="0F1E36"/>
                <w:sz w:val="17"/>
                <w:rtl w:val="1"/>
              </w:rPr>
              <w:t>زمان کلی آماده‌سازی پرونده و ارجاع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 w:line="276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334155"/>
                <w:sz w:val="17"/>
                <w:rtl w:val="1"/>
              </w:rPr>
              <w:t>۴ الی ۶ ساعت پس از وصول ایمیل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 w:line="276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334155"/>
                <w:sz w:val="17"/>
                <w:rtl w:val="1"/>
              </w:rPr>
              <w:t>کمتر از ۱۵ دقیقه (کاهش بیش از ۸۰٪)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 w:line="276" w:lineRule="auto"/>
              <w:jc w:val="right"/>
            </w:pPr>
            <w:r>
              <w:rPr>
                <w:rFonts w:ascii="Tahoma" w:hAnsi="Tahoma" w:cs="Tahoma"/>
                <w:b/>
                <w:i w:val="0"/>
                <w:color w:val="0F1E36"/>
                <w:sz w:val="17"/>
                <w:rtl w:val="1"/>
              </w:rPr>
              <w:t>زمان پردازش اسناد متنی دیجیتال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 w:line="276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334155"/>
                <w:sz w:val="17"/>
                <w:rtl w:val="1"/>
              </w:rPr>
              <w:t>۲۰ الی ۴۵ دقیقه برای هر استعلام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 w:line="276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334155"/>
                <w:sz w:val="17"/>
                <w:rtl w:val="1"/>
              </w:rPr>
              <w:t>کمتر از ۲ دقیقه به صورت تمام‌خودکار</w:t>
            </w:r>
          </w:p>
        </w:tc>
      </w:tr>
      <w:tr>
        <w:tc>
          <w:tcPr>
            <w:tcW w:type="dxa" w:w="345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 w:line="276" w:lineRule="auto"/>
              <w:jc w:val="right"/>
            </w:pPr>
            <w:r>
              <w:rPr>
                <w:rFonts w:ascii="Tahoma" w:hAnsi="Tahoma" w:cs="Tahoma"/>
                <w:b/>
                <w:i w:val="0"/>
                <w:color w:val="0F1E36"/>
                <w:sz w:val="17"/>
                <w:rtl w:val="1"/>
              </w:rPr>
              <w:t>زمان بررسی در کارتابل انسانی (HITL)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 w:line="276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334155"/>
                <w:sz w:val="17"/>
                <w:rtl w:val="1"/>
              </w:rPr>
              <w:t>بررسی دستی مجدد و طولانی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 w:line="276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334155"/>
                <w:sz w:val="17"/>
                <w:rtl w:val="1"/>
              </w:rPr>
              <w:t>کمتر از ۳۰ ثانیه (تایید با ۱ کلیک)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 w:line="276" w:lineRule="auto"/>
              <w:jc w:val="right"/>
            </w:pPr>
            <w:r>
              <w:rPr>
                <w:rFonts w:ascii="Tahoma" w:hAnsi="Tahoma" w:cs="Tahoma"/>
                <w:b/>
                <w:i w:val="0"/>
                <w:color w:val="0F1E36"/>
                <w:sz w:val="17"/>
                <w:rtl w:val="1"/>
              </w:rPr>
              <w:t>دقت دسته‌بندی و تطبیق استانداردها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 w:line="276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334155"/>
                <w:sz w:val="17"/>
                <w:rtl w:val="1"/>
              </w:rPr>
              <w:t>وابسته به حضور کارشناس مشخص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bidi w:val="1"/>
              <w:spacing w:before="0" w:after="0" w:line="276" w:lineRule="auto"/>
              <w:jc w:val="center"/>
            </w:pPr>
            <w:r>
              <w:rPr>
                <w:rFonts w:ascii="Tahoma" w:hAnsi="Tahoma" w:cs="Tahoma"/>
                <w:b w:val="0"/>
                <w:i w:val="0"/>
                <w:color w:val="334155"/>
                <w:sz w:val="17"/>
                <w:rtl w:val="1"/>
              </w:rPr>
              <w:t>دقت پایدار و تطبیق مستند با کاتالوگ‌ها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749"/>
      </w:tblGrid>
      <w:tr>
        <w:tc>
          <w:tcPr>
            <w:tcW w:type="dxa" w:w="9792"/>
            <w:shd w:fill="0F1E36"/>
            <w:tcBorders>
              <w:top w:val="single" w:sz="12" w:space="0" w:color="0284C7"/>
              <w:bottom w:val="single" w:sz="12" w:space="0" w:color="0284C7"/>
              <w:left w:val="single" w:sz="12" w:space="0" w:color="0284C7"/>
              <w:right w:val="single" w:sz="12" w:space="0" w:color="0284C7"/>
            </w:tcBorders>
            <w:tcMar>
              <w:top w:w="80" w:type="dxa"/>
              <w:bottom w:w="80" w:type="dxa"/>
              <w:left w:w="140" w:type="dxa"/>
              <w:right w:w="160" w:type="dxa"/>
            </w:tcMar>
          </w:tcPr>
          <w:p>
            <w:pPr>
              <w:bidi w:val="1"/>
              <w:spacing w:before="0" w:after="0" w:line="283" w:lineRule="auto"/>
              <w:jc w:val="both"/>
            </w:pPr>
            <w:r>
              <w:rPr>
                <w:rFonts w:ascii="Tahoma" w:hAnsi="Tahoma" w:cs="Tahoma"/>
                <w:b/>
                <w:i w:val="0"/>
                <w:color w:val="FFFFFF"/>
                <w:sz w:val="19"/>
                <w:rtl w:val="1"/>
              </w:rPr>
              <w:t>پیام نهایی به مدیریت ارشد سازمان:</w:t>
              <w:br/>
            </w:r>
            <w:r>
              <w:rPr>
                <w:rFonts w:ascii="Tahoma" w:hAnsi="Tahoma" w:cs="Tahoma"/>
                <w:b w:val="0"/>
                <w:i w:val="0"/>
                <w:color w:val="FFFFFF"/>
                <w:sz w:val="17"/>
                <w:rtl w:val="1"/>
              </w:rPr>
              <w:t>سامانه هوشمند مدیریت استعلام‌های مهندسی آتبین ایستا، نخستین گام بنیادین در مسیر تبدیل شرکت فنی مهندسی آتبین ایستا به پیشگام فناوری‌های هوش مصنوعی در صنعت تجهیزات نفت، گاز و پتروشیمی کشور است.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