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4652BED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lastRenderedPageBreak/>
        <w:t>اهداف رفتاری</w:t>
      </w:r>
    </w:p>
    <w:p w14:paraId="063CA83B" w14:textId="75C7E3A7"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185862BF" w14:textId="77777777" w:rsidR="00A04D1E" w:rsidRPr="002316D0"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674CD126"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نیازهای کیفی</w:t>
      </w:r>
    </w:p>
    <w:p w14:paraId="09009E69"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نیازهای ایجابی</w:t>
      </w:r>
    </w:p>
    <w:p w14:paraId="77C9E26E"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معیارهای معماری</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683A54E" w:rsidR="00787590" w:rsidRDefault="00787590" w:rsidP="00787590">
      <w:pPr>
        <w:pStyle w:val="ListParagraph"/>
        <w:bidi/>
        <w:spacing w:after="0" w:line="240" w:lineRule="auto"/>
        <w:ind w:left="1080"/>
        <w:rPr>
          <w:rFonts w:cs="B Nazanin" w:hint="cs"/>
          <w:sz w:val="44"/>
          <w:szCs w:val="44"/>
          <w:rtl/>
          <w:lang w:bidi="fa-IR"/>
        </w:rPr>
      </w:pPr>
      <w:r>
        <w:rPr>
          <w:rFonts w:cs="B Nazanin" w:hint="cs"/>
          <w:sz w:val="44"/>
          <w:szCs w:val="44"/>
          <w:rtl/>
          <w:lang w:bidi="fa-IR"/>
        </w:rPr>
        <w:t xml:space="preserve">1-کمینه هزینه جهت استقرار </w:t>
      </w:r>
    </w:p>
    <w:p w14:paraId="3369A8E2" w14:textId="706FEBFE" w:rsidR="00787590" w:rsidRDefault="00787590" w:rsidP="00787590">
      <w:pPr>
        <w:pStyle w:val="ListParagraph"/>
        <w:bidi/>
        <w:spacing w:after="0" w:line="240" w:lineRule="auto"/>
        <w:ind w:left="1080"/>
        <w:rPr>
          <w:rFonts w:cs="B Nazanin" w:hint="cs"/>
          <w:sz w:val="44"/>
          <w:szCs w:val="44"/>
          <w:rtl/>
          <w:lang w:bidi="fa-IR"/>
        </w:rPr>
      </w:pPr>
      <w:r>
        <w:rPr>
          <w:rFonts w:cs="B Nazanin" w:hint="cs"/>
          <w:sz w:val="44"/>
          <w:szCs w:val="44"/>
          <w:rtl/>
          <w:lang w:bidi="fa-IR"/>
        </w:rPr>
        <w:t xml:space="preserve">2- </w:t>
      </w:r>
      <w:r w:rsidR="006D4088">
        <w:rPr>
          <w:rFonts w:cs="B Nazanin" w:hint="cs"/>
          <w:sz w:val="44"/>
          <w:szCs w:val="44"/>
          <w:rtl/>
          <w:lang w:bidi="fa-IR"/>
        </w:rPr>
        <w:t xml:space="preserve">تسریع در استقرار سیستم </w:t>
      </w:r>
    </w:p>
    <w:p w14:paraId="10BD5E9F" w14:textId="7806D400" w:rsidR="006D4088" w:rsidRPr="002316D0" w:rsidRDefault="006D4088" w:rsidP="006D4088">
      <w:pPr>
        <w:pStyle w:val="ListParagraph"/>
        <w:bidi/>
        <w:spacing w:after="0" w:line="240" w:lineRule="auto"/>
        <w:ind w:left="1080"/>
        <w:rPr>
          <w:rFonts w:cs="B Nazanin"/>
          <w:sz w:val="44"/>
          <w:szCs w:val="44"/>
          <w:rtl/>
          <w:lang w:bidi="fa-IR"/>
        </w:rPr>
      </w:pPr>
      <w:r>
        <w:rPr>
          <w:rFonts w:cs="B Nazanin" w:hint="cs"/>
          <w:sz w:val="44"/>
          <w:szCs w:val="44"/>
          <w:rtl/>
          <w:lang w:bidi="fa-IR"/>
        </w:rPr>
        <w:t>3-</w:t>
      </w:r>
      <w:bookmarkStart w:id="0" w:name="_GoBack"/>
      <w:bookmarkEnd w:id="0"/>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77777777"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F7A3E"/>
    <w:rsid w:val="002316D0"/>
    <w:rsid w:val="00552EC3"/>
    <w:rsid w:val="006D4088"/>
    <w:rsid w:val="00787590"/>
    <w:rsid w:val="00877813"/>
    <w:rsid w:val="00A04D1E"/>
    <w:rsid w:val="00AE4A6D"/>
    <w:rsid w:val="00B96781"/>
    <w:rsid w:val="00C42B3A"/>
    <w:rsid w:val="00EC0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7</cp:revision>
  <dcterms:created xsi:type="dcterms:W3CDTF">2021-07-05T07:14:00Z</dcterms:created>
  <dcterms:modified xsi:type="dcterms:W3CDTF">2022-02-08T16:06:00Z</dcterms:modified>
</cp:coreProperties>
</file>