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B08D57"/>
          <w:spacing w:val="30"/>
          <w:sz w:val="22"/>
          <w:szCs w:val="22"/>
        </w:rPr>
        <w:t xml:space="preserve">FACEBOOK &amp; INSTAGRAM ADS PORTFOLIO</w:t>
      </w:r>
    </w:p>
    <w:p>
      <w:pPr>
        <w:spacing w:after="300"/>
        <w:jc w:val="center"/>
      </w:pPr>
      <w:r>
        <w:rPr>
          <w:rFonts w:ascii="Georgia" w:cs="Georgia" w:eastAsia="Georgia" w:hAnsi="Georgia"/>
          <w:b/>
          <w:bCs/>
          <w:color w:val="1B2A4A"/>
          <w:sz w:val="52"/>
          <w:szCs w:val="52"/>
        </w:rPr>
        <w:t xml:space="preserve">Seven Case Studies in Creative-Led Performance Marketing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4A4A4A"/>
          <w:sz w:val="26"/>
          <w:szCs w:val="26"/>
        </w:rPr>
        <w:t xml:space="preserve">Built and rebuilt for Meta's Andromeda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220"/>
              <w:left w:type="dxa" w:w="80"/>
              <w:bottom w:type="dxa" w:w="22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8D2C4"/>
                <w:sz w:val="16"/>
                <w:szCs w:val="16"/>
              </w:rPr>
              <w:t xml:space="preserve">Client Accounts</w:t>
            </w:r>
          </w:p>
        </w:tc>
        <w:tc>
          <w:tcPr>
            <w:tcW w:type="dxa" w:w="2340"/>
            <w:shd w:fill="1B2A4A" w:val="clear"/>
            <w:tcMar>
              <w:top w:type="dxa" w:w="220"/>
              <w:left w:type="dxa" w:w="80"/>
              <w:bottom w:type="dxa" w:w="22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334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8D2C4"/>
                <w:sz w:val="16"/>
                <w:szCs w:val="16"/>
              </w:rPr>
              <w:t xml:space="preserve">Campaigns Run</w:t>
            </w:r>
          </w:p>
        </w:tc>
        <w:tc>
          <w:tcPr>
            <w:tcW w:type="dxa" w:w="2340"/>
            <w:shd w:fill="1B2A4A" w:val="clear"/>
            <w:tcMar>
              <w:top w:type="dxa" w:w="220"/>
              <w:left w:type="dxa" w:w="80"/>
              <w:bottom w:type="dxa" w:w="22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$9,988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8D2C4"/>
                <w:sz w:val="16"/>
                <w:szCs w:val="16"/>
              </w:rPr>
              <w:t xml:space="preserve">Total Spend</w:t>
            </w:r>
          </w:p>
        </w:tc>
        <w:tc>
          <w:tcPr>
            <w:tcW w:type="dxa" w:w="2340"/>
            <w:shd w:fill="1B2A4A" w:val="clear"/>
            <w:tcMar>
              <w:top w:type="dxa" w:w="220"/>
              <w:left w:type="dxa" w:w="80"/>
              <w:bottom w:type="dxa" w:w="220"/>
              <w:right w:type="dxa" w:w="8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2"/>
                <w:szCs w:val="32"/>
              </w:rPr>
              <w:t xml:space="preserve">14.0M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8D2C4"/>
                <w:sz w:val="16"/>
                <w:szCs w:val="16"/>
              </w:rPr>
              <w:t xml:space="preserve">Impressions</w:t>
            </w:r>
          </w:p>
        </w:tc>
      </w:tr>
    </w:tbl>
    <w:p>
      <w:pPr>
        <w:spacing w:before="1400"/>
      </w:pPr>
    </w:p>
    <w:p>
      <w:pPr>
        <w:pBdr>
          <w:bottom w:val="single" w:color="B08D57" w:sz="8" w:space="4"/>
        </w:pBdr>
        <w:spacing w:after="200"/>
      </w:pPr>
    </w:p>
    <w:p>
      <w:pPr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Prepared from live Meta Ads Manager reporting across all managed accounts</w:t>
      </w:r>
    </w:p>
    <w:p>
      <w:pPr>
        <w:sectPr>
          <w:pgSz w:w="12240" w:h="15840" w:orient="portrait"/>
          <w:pgMar w:top="22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00"/>
      </w:pPr>
      <w:r>
        <w:rPr>
          <w:rFonts w:ascii="Georgia" w:cs="Georgia" w:eastAsia="Georgia" w:hAnsi="Georgia"/>
          <w:b/>
          <w:bCs/>
          <w:color w:val="1B2A4A"/>
          <w:sz w:val="34"/>
          <w:szCs w:val="34"/>
        </w:rPr>
        <w:t xml:space="preserve">Portfolio Snapshot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portfolio brings together seven live Meta Ads accounts spanning fragrance, fashion, beauty, education, travel, web development, and overseas-study consultancy. Across 334 campaigns and $9,988.16 in managed ad spend, these accounts generated over 14 million impressions and reached more than 5.5 million people - almost entirely on small, daily-budget campaigns rather than large one-off pushes. What ties them together is a shared response to Meta's Andromeda update: broad targeting, messaging-first creative, and a constant rotation of new ad variations built to keep pace with a system that now ranks ads primarily on creative signal, not audience definition.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AD ACCOUNTS</w:t>
            </w:r>
          </w:p>
        </w:tc>
        <w:tc>
          <w:tcPr>
            <w:tcW w:type="dxa" w:w="1872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1872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SPEND</w:t>
            </w:r>
          </w:p>
        </w:tc>
        <w:tc>
          <w:tcPr>
            <w:tcW w:type="dxa" w:w="1872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1872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1872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7</w:t>
            </w:r>
          </w:p>
        </w:tc>
        <w:tc>
          <w:tcPr>
            <w:tcW w:type="dxa" w:w="1872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334</w:t>
            </w:r>
          </w:p>
        </w:tc>
        <w:tc>
          <w:tcPr>
            <w:tcW w:type="dxa" w:w="1872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$9,988.16</w:t>
            </w:r>
          </w:p>
        </w:tc>
        <w:tc>
          <w:tcPr>
            <w:tcW w:type="dxa" w:w="1872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14,012,864</w:t>
            </w:r>
          </w:p>
        </w:tc>
        <w:tc>
          <w:tcPr>
            <w:tcW w:type="dxa" w:w="1872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5,554,167</w:t>
            </w:r>
          </w:p>
        </w:tc>
      </w:tr>
    </w:tbl>
    <w:p>
      <w:pPr>
        <w:spacing w:after="280"/>
      </w:pP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CONTEXT</w:t>
      </w:r>
    </w:p>
    <w:p>
      <w:pPr>
        <w:pStyle w:val="Heading2"/>
        <w:spacing w:after="120"/>
      </w:pPr>
      <w:r>
        <w:rPr>
          <w:rFonts w:ascii="Georgia" w:cs="Georgia" w:eastAsia="Georgia" w:hAnsi="Georgia"/>
          <w:b/>
          <w:bCs/>
          <w:color w:val="1B2A4A"/>
          <w:sz w:val="28"/>
          <w:szCs w:val="28"/>
        </w:rPr>
        <w:t xml:space="preserve">Why Andromeda Changes the Playbook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In 2026, Meta finished rolling out Andromeda - the AI retrieval engine that now decides which ads even get a chance to enter the auction. Where the old system matched ads to audiences using interests and demographics, Andromeda reads the creative itself: hooks, pacing, message, format. It predicts who will respond before targeting settings matter much at all.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For small and mid-size advertisers, that changes the job. It means fewer manually stacked interest sets and more creative variations; broader ad sets so the algorithm has room to learn; and campaign structures built around signals Andromeda can act on quickly, like Messenger conversations and video ThruPlays. Every account in this portfolio was run with that shift in mind - smaller ad sets, stacking dozens of scrappy new tests, rather than one polished ad left to run for months.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STUDIES</w:t>
      </w:r>
    </w:p>
    <w:p>
      <w:pPr>
        <w:pStyle w:val="Heading1"/>
        <w:spacing w:after="120" w:before="200"/>
      </w:pPr>
      <w:r>
        <w:rPr>
          <w:rFonts w:ascii="Georgia" w:cs="Georgia" w:eastAsia="Georgia" w:hAnsi="Georgia"/>
          <w:b/>
          <w:bCs/>
          <w:color w:val="1B2A4A"/>
          <w:sz w:val="34"/>
          <w:szCs w:val="34"/>
        </w:rPr>
        <w:t xml:space="preserve">Client Results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1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Sumon’s Aroma &amp; Sister Brands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Fragrance, Beauty &amp; D2C Messenger Commerce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$756.71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36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1,609,197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1,021,224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Sumon's Aroma account, 36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account manages Sumon’s Aroma alongside several partner brands (RB, Saha, Bokul Tula Dhaka, BoomBaazz) that sell primarily through Facebook Messenger rather than a checkout page. The strategy leans almost entirely on Engagement campaigns optimized for Messaging Conversations Started, with new campaigns launched every few days on $3–$10 daily budgets instead of one large evergreen ad set.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That cadence - dozens of small, fast-moving tests - is exactly the kind of creative diversity Andromeda rewards. Several campaigns landed a cost per messaging conversation under $0.10, and reach tracked impressions closely across the account, a sign the creative was being shown broadly rather than repeated at the same narrow segment. Over 36 campaigns, $756.71 in spend returned 1.6 million impressions and put the brand in front of over a million unique people - a blended cost per thousand impressions under $0.50.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Frequent, low-cost creative refreshes across many small partner brands - the exact volume-over-polish pattern the retrieval engine now favors.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2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Riha Webtech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Web Design &amp; Local Digital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$431.00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18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275,332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118,321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Riha Webtech account, 18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Riha Webtech sells technical services - Laravel development, landing page builds, label and package design, and Meta Conversions API / server-side tracking setup - a harder sell than a physical product, and one that depends on trust-building creative rather than a flashy offer. Campaigns were split by service line so each ad's creative could speak to one specific buyer instead of one generic pitch trying to cover everything.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That specificity matters under Andromeda, which now matches creative to intent rather than matching audience definitions to demographics. On a modest $431 spend across 18 campaigns, the account generated 275K impressions and drove messaging conversations at costs as low as $0.04, with the more competitive landing-page and tracking-setup campaigns settling around $0.15–$0.20 per conversation - solid economics for a B2B service offer.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One creative angle per service line, not one ad trying to sell everything - giving the retrieval engine a cleaner signal to match against buyer intent.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3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IPB Edu &amp; Happy Tours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Education Consultancy &amp; Travel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$1,141.45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37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1,828,839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731,828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IPB Edu &amp; Happy Tours account, 37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account runs two distinct verticals side by side - IPB's education-consultancy inquiries and Happy Tours' travel bookings - using a mix of Messenger and click-to-call campaigns depending on which converts better for each service. The weekly “Jix” campaign series (24.06, 18.06, 10.06, 05.06…) iterated every few days rather than running one ad indefinitely, and a Serbia-focused visa and travel campaign targeted a specific outbound-migration audience.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Cost per messaging conversation stayed remarkably tight throughout, frequently landing between $0.09 and $0.15, and one May campaign pushed 30,000-plus impressions off a $5 daily budget. Across 37 campaigns, $1,141.45 in spend delivered 1.83 million impressions - proof that consistent weekly refreshes, not bigger budgets, kept costs down as Andromeda rewarded the newest creative in the pool.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 weekly refresh cadence, rather than a single long-running ad, is what Andromeda's creative-diversity filters are built to reward.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4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Ruposhi Mart &amp; Partner Brands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Fashion &amp; Beauty E-Commerce, Multi-Brand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$6,315.66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138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7,280,153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1,806,088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Ruposhi Mart account, 138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is the largest and most complex account in the portfolio - six e-commerce brands, 138 campaigns, and a genuine mix of objectives: Sales campaigns optimized for on-site purchases (Inner Comfort, Beauty Glow), Awareness campaigns for pure reach (Rupchaya alone hit 156,545 reach off a single $10/day push), and Engagement campaigns feeding Messenger for brands still selling conversationally (Bd Brand Shop, Femland).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Rather than consolidating everything into one mega-campaign, spend stayed distributed across dozens of small, brand-specific tests - the structure Andromeda's Advantage+ system favors, since it hands the retrieval engine more distinct creative signals to learn from at once. The scale shows in the numbers: $6,315.66 in total spend produced 7.28 million impressions and reached 1.8 million people, with frequency staying low across most Awareness campaigns - a sign the account was genuinely expanding its audience rather than re-showing the same users.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Six brands, dozens of parallel small-budget campaigns - maximum creative surface area for the retrieval engine to sort through.</w:t>
      </w:r>
    </w:p>
    <w:p>
      <w:r>
        <w:br w:type="page"/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5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Luxury Beauty – RWT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Beauty &amp; Skincare, Direct-Response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$350.23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23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488,251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388,554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Luxury Beauty - RWT account, 23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Luxury Beauty's account runs a tight rotation of Sales campaigns (IC Basu, 1RM/2RM/3RM Dipto) optimized directly for website purchases and per-purchase cost control, layered with Engagement campaigns (BG Dipto) to keep the Messenger pipeline warm between sales pushes. Budgets were kept small and campaigns short-lived - many wrapped within a week - which meant creative was constantly refreshed rather than left to fatigue.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That habit lines up directly with Andromeda's preference for active creative rotation over long-running, set-and-forget ads. On $350.23 in spend, the account reached 388,554 people with 488,251 impressions, and purchase-optimized campaigns held cost-per-purchase in the low single digits - efficient economics for a beauty brand with modest average order values.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Short-lived, fast-rotating sales campaigns avoid the creative fatigue that Andromeda's filters increasingly penalize.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6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RPL Consultancy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Overseas Education &amp; Immigration Consultancy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$273.17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8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1,151,904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663,407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RPL Consultancy account, 8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With only 8 campaigns, RPL Consultancy shows what focus looks like: a lead-form campaign converting at $1.42 per lead, a broad Awareness push that hit 329,646 reach using Meta's ad-set budget optimization, and a handful of ThruPlay video Engagement campaigns priced at fractions of a cent per view.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Rather than testing dozens of angles, this account concentrated spend on a smaller number of well-targeted, high-intent formats - lead forms for bottom-funnel prospects, awareness and recall for top-funnel visibility - and let Andromeda's broad-targeting logic do the audience-finding. The result: 1.15 million impressions and 663,407 people reached from just $273.17 in spend, one of the most efficient cost-per-impression ratios in the entire portfolio.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Fewer, sharper formats plus genuinely broad targeting - proof the engine doesn't need audience segmentation to find the right people.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CASE STUDY 7</w:t>
      </w:r>
    </w:p>
    <w:p>
      <w:pPr>
        <w:pStyle w:val="Heading2"/>
        <w:spacing w:after="40"/>
      </w:pPr>
      <w:r>
        <w:rPr>
          <w:rFonts w:ascii="Georgia" w:cs="Georgia" w:eastAsia="Georgia" w:hAnsi="Georgia"/>
          <w:b/>
          <w:bCs/>
          <w:color w:val="1B2A4A"/>
          <w:sz w:val="30"/>
          <w:szCs w:val="30"/>
        </w:rPr>
        <w:t xml:space="preserve">Travel &amp; Lifestyle Testing Engine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4A4A4A"/>
          <w:sz w:val="21"/>
          <w:szCs w:val="21"/>
        </w:rPr>
        <w:t xml:space="preserve">Travel Agencies, Visa Services &amp; Lifestyle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SPEND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CAMPAIGNS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IMPRESSIONS</w:t>
            </w:r>
          </w:p>
        </w:tc>
        <w:tc>
          <w:tcPr>
            <w:tcW w:type="dxa" w:w="2340"/>
            <w:shd w:fill="1B2A4A" w:val="clear"/>
            <w:tcMar>
              <w:top w:type="dxa" w:w="10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REACH</w:t>
            </w:r>
          </w:p>
        </w:tc>
      </w:tr>
      <w:tr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$719.94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74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1,379,188</w:t>
            </w:r>
          </w:p>
        </w:tc>
        <w:tc>
          <w:tcPr>
            <w:tcW w:type="dxa" w:w="2340"/>
            <w:shd w:fill="F2F1EE" w:val="clear"/>
            <w:tcMar>
              <w:top w:type="dxa" w:w="6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2A4A"/>
                <w:sz w:val="26"/>
                <w:szCs w:val="26"/>
              </w:rPr>
              <w:t xml:space="preserve">824,745</w:t>
            </w:r>
          </w:p>
        </w:tc>
      </w:tr>
    </w:tbl>
    <w:p>
      <w:pPr>
        <w:pBdr>
          <w:top w:val="single" w:color="D9D4C8" w:sz="4" w:space="4"/>
          <w:bottom w:val="single" w:color="D9D4C8" w:sz="4" w:space="4"/>
          <w:left w:val="single" w:color="D9D4C8" w:sz="4" w:space="4"/>
          <w:right w:val="single" w:color="D9D4C8" w:sz="4" w:space="4"/>
        </w:pBdr>
        <w:spacing w:after="60" w:before="120"/>
        <w:jc w:val="center"/>
      </w:pPr>
      <w:r>
        <w:drawing>
          <wp:inline distT="0" distB="0" distL="0" distR="0">
            <wp:extent cx="5334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4A4A"/>
          <w:sz w:val="16"/>
          <w:szCs w:val="16"/>
        </w:rPr>
        <w:t xml:space="preserve">Ads Manager view: Travel &amp; Lifestyle testing account, 74 campaigns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This account is the portfolio's testing engine - 74 campaigns across Karima Travel, Green Way Visa &amp; Travels, an iPhone product push, and the RMSD ThruPlay video series, all run on tight daily budgets between $2 and $5. It's a direct illustration of the “more variants, smaller budgets” playbook Andromeda rewards: an iPhone reel campaign was tested head-to-head against an iPhone static-image campaign to see which format the retrieval engine favored, and RMSD ran four separate ThruPlay awareness campaigns back-to-back through June, each a slightly different cut, at a cost of roughly $0.001 per ThruPlay.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Messaging-conversation campaigns for the travel agencies held costs in the $0.03–$0.32 range depending on competitiveness. Across all 74 campaigns, $719.94 in spend generated 1.38 million impressions and reached 824,745 people - a campaign count nearly four times the account's spend in dollars, underlining just how much this strategy leans on volume of creative tests rather than budget size.</w:t>
      </w:r>
    </w:p>
    <w:p>
      <w:pPr>
        <w:pBdr>
          <w:left w:val="single" w:color="B08D57" w:sz="16" w:space="8"/>
        </w:pBdr>
        <w:shd w:fill="FBF6EC" w:val="clear"/>
        <w:spacing w:after="260" w:before="80"/>
        <w:ind w:left="200"/>
      </w:pPr>
      <w:r>
        <w:rPr>
          <w:rFonts w:ascii="Calibri" w:cs="Calibri" w:eastAsia="Calibri" w:hAnsi="Calibri"/>
          <w:b/>
          <w:bCs/>
          <w:color w:val="B08D57"/>
          <w:sz w:val="20"/>
          <w:szCs w:val="20"/>
        </w:rPr>
        <w:t xml:space="preserve">ANDROMEDA ALIGNMENT: </w:t>
      </w: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Volume of tests over size of budget - 74 campaigns on under $750 is the clearest example in this portfolio of feeding the algorithm rather than out-spending it.</w:t>
      </w:r>
    </w:p>
    <w:p>
      <w:r>
        <w:br w:type="pag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B08D57"/>
          <w:spacing w:val="20"/>
          <w:sz w:val="18"/>
          <w:szCs w:val="18"/>
        </w:rPr>
        <w:t xml:space="preserve">CLOSING</w:t>
      </w:r>
    </w:p>
    <w:p>
      <w:pPr>
        <w:pStyle w:val="Heading1"/>
        <w:spacing w:after="120" w:before="200"/>
      </w:pPr>
      <w:r>
        <w:rPr>
          <w:rFonts w:ascii="Georgia" w:cs="Georgia" w:eastAsia="Georgia" w:hAnsi="Georgia"/>
          <w:b/>
          <w:bCs/>
          <w:color w:val="1B2A4A"/>
          <w:sz w:val="34"/>
          <w:szCs w:val="34"/>
        </w:rPr>
        <w:t xml:space="preserve">The Common Thread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single account in this portfolio relies on a big budget. What repeats across all seven - fragrance, web design, education, travel, fashion, beauty, and consultancy - is the same operating rhythm: small daily budgets, frequent creative refreshes, messaging-first conversion paths, and campaign structures broad enough for Meta's Andromeda engine to do the targeting work on its own.</w:t>
      </w:r>
    </w:p>
    <w:p>
      <w:pPr>
        <w:spacing w:after="160" w:line="288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Combined, these seven accounts spent $9,988.16 to generate over 14 million impressions and reach 5.5 million people. The lesson carries past any single client: in the Andromeda era, creative velocity - how many honest new variations you can put in front of the algorithm - outperforms budget size almost every time.</w:t>
      </w:r>
    </w:p>
    <w:p>
      <w:pPr>
        <w:spacing w:before="300"/>
      </w:pPr>
    </w:p>
    <w:p>
      <w:pPr>
        <w:pBdr>
          <w:bottom w:val="single" w:color="B08D57" w:sz="8" w:space="4"/>
        </w:pBdr>
        <w:spacing w:after="200"/>
      </w:pPr>
    </w:p>
    <w:p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Figures compiled from Meta Ads Manager reporting (lifetime account totals as of late June 2026) across all seven managed accounts.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a2f36ee05d4008f2cc3804660005679bc7aa1b.png"/><Relationship Id="rId8" Type="http://schemas.openxmlformats.org/officeDocument/2006/relationships/image" Target="media/a81308797946f4f55253fe4e4a636ac32d8db2ed.png"/><Relationship Id="rId9" Type="http://schemas.openxmlformats.org/officeDocument/2006/relationships/image" Target="media/643d723dc73e099a6facf19d290ec380830e2568.png"/><Relationship Id="rId10" Type="http://schemas.openxmlformats.org/officeDocument/2006/relationships/image" Target="media/4ef3fd1963286b2100905df4262889332def7c7c.png"/><Relationship Id="rId11" Type="http://schemas.openxmlformats.org/officeDocument/2006/relationships/image" Target="media/3bcdcfe625236ec132f74177ea3ea315f17b4c29.png"/><Relationship Id="rId12" Type="http://schemas.openxmlformats.org/officeDocument/2006/relationships/image" Target="media/a55c6b2c131527036a9bf9e41f7929699bad8607.png"/><Relationship Id="rId13" Type="http://schemas.openxmlformats.org/officeDocument/2006/relationships/image" Target="media/00db787ef2b73e37dba25705feff78cbe4114b2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2026-08-08T07:47:01.169Z</dcterms:created>
  <dcterms:modified xsi:type="dcterms:W3CDTF">2026-08-08T07:47:01.169Z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