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Patient Safety Policy</w:t>
      </w:r>
    </w:p>
    <w:p>
      <w:r>
        <w:t>SYNTHETIC PRACTICE DOCUMENT — NOT AN OFFICIAL HOSPITAL POLICY</w:t>
      </w:r>
    </w:p>
    <w:p>
      <w:r>
        <w:t>Version: 1.0 | Purpose: Multi-document RAG testing</w:t>
      </w:r>
    </w:p>
    <w:p>
      <w:pPr>
        <w:pStyle w:val="Heading1"/>
      </w:pPr>
      <w:r>
        <w:t>Purpose</w:t>
      </w:r>
    </w:p>
    <w:p>
      <w:r>
        <w:t>This synthetic policy establishes assumed patient-safety practices for a RAG demonstration.</w:t>
      </w:r>
    </w:p>
    <w:p>
      <w:pPr>
        <w:pStyle w:val="Heading1"/>
      </w:pPr>
      <w:r>
        <w:t>Patient Identification</w:t>
      </w:r>
    </w:p>
    <w:p>
      <w:r>
        <w:t>Staff should use appropriate identifiers before medication administration, specimen collection, procedures, and transfers.</w:t>
      </w:r>
    </w:p>
    <w:p>
      <w:pPr>
        <w:pStyle w:val="Heading1"/>
      </w:pPr>
      <w:r>
        <w:t>Medication Safety</w:t>
      </w:r>
    </w:p>
    <w:p>
      <w:r>
        <w:t>Medication orders should be checked against patient information and the authorized clinical order.</w:t>
      </w:r>
    </w:p>
    <w:p>
      <w:pPr>
        <w:pStyle w:val="Heading1"/>
      </w:pPr>
      <w:r>
        <w:t>Fall Prevention</w:t>
      </w:r>
    </w:p>
    <w:p>
      <w:r>
        <w:t>Patients identified as having a fall risk should receive appropriate precautions and monitoring.</w:t>
      </w:r>
    </w:p>
    <w:p>
      <w:pPr>
        <w:pStyle w:val="Heading1"/>
      </w:pPr>
      <w:r>
        <w:t>Communication</w:t>
      </w:r>
    </w:p>
    <w:p>
      <w:r>
        <w:t>Important changes in patient condition should be communicated promptly to the responsible clinical team.</w:t>
      </w:r>
    </w:p>
    <w:p>
      <w:pPr>
        <w:pStyle w:val="Heading1"/>
      </w:pPr>
      <w:r>
        <w:t>Incident Reporting</w:t>
      </w:r>
    </w:p>
    <w:p>
      <w:r>
        <w:t>Patient-safety incidents and near misses should be reported through the approved reporting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