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Emergency Escalation Guide</w:t>
      </w:r>
    </w:p>
    <w:p>
      <w:r>
        <w:t>SYNTHETIC PRACTICE DOCUMENT — NOT AN OFFICIAL HOSPITAL POLICY</w:t>
      </w:r>
    </w:p>
    <w:p>
      <w:r>
        <w:t>Version: 1.0 | Purpose: Multi-document RAG testing</w:t>
      </w:r>
    </w:p>
    <w:p>
      <w:pPr>
        <w:pStyle w:val="Heading1"/>
      </w:pPr>
      <w:r>
        <w:t>Critical Patient</w:t>
      </w:r>
    </w:p>
    <w:p>
      <w:r>
        <w:t>A critically ill patient should be immediately escalated to the responsible emergency clinician and relevant clinical team.</w:t>
      </w:r>
    </w:p>
    <w:p>
      <w:pPr>
        <w:pStyle w:val="Heading1"/>
      </w:pPr>
      <w:r>
        <w:t>Diagnostic Support</w:t>
      </w:r>
    </w:p>
    <w:p>
      <w:r>
        <w:t>Laboratory and radiology services may be requested when clinically required.</w:t>
      </w:r>
    </w:p>
    <w:p>
      <w:pPr>
        <w:pStyle w:val="Heading1"/>
      </w:pPr>
      <w:r>
        <w:t>Admission</w:t>
      </w:r>
    </w:p>
    <w:p>
      <w:r>
        <w:t>Patients requiring inpatient care are referred to the admissions process after the clinical decision.</w:t>
      </w:r>
    </w:p>
    <w:p>
      <w:pPr>
        <w:pStyle w:val="Heading1"/>
      </w:pPr>
      <w:r>
        <w:t>Transfer</w:t>
      </w:r>
    </w:p>
    <w:p>
      <w:r>
        <w:t>If the required service is unavailable, the responsible clinical team follows the hospital transfer procedure.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