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Hospital Visitor Policy</w:t>
      </w:r>
    </w:p>
    <w:p>
      <w:r>
        <w:t>SYNTHETIC PRACTICE DOCUMENT — NOT AN OFFICIAL HOSPITAL POLICY</w:t>
      </w:r>
    </w:p>
    <w:p>
      <w:r>
        <w:t>Version: 1.0 | Purpose: Multi-document RAG testing</w:t>
      </w:r>
    </w:p>
    <w:p>
      <w:pPr>
        <w:pStyle w:val="Heading1"/>
      </w:pPr>
      <w:r>
        <w:t>Visitor Access</w:t>
      </w:r>
    </w:p>
    <w:p>
      <w:r>
        <w:t>Visitors may enter designated patient areas according to assumed hospital visiting arrangements.</w:t>
      </w:r>
    </w:p>
    <w:p>
      <w:pPr>
        <w:pStyle w:val="Heading1"/>
      </w:pPr>
      <w:r>
        <w:t>Identification</w:t>
      </w:r>
    </w:p>
    <w:p>
      <w:r>
        <w:t>Visitors may be asked to provide identification or follow ward access procedures.</w:t>
      </w:r>
    </w:p>
    <w:p>
      <w:pPr>
        <w:pStyle w:val="Heading1"/>
      </w:pPr>
      <w:r>
        <w:t>Patient Privacy</w:t>
      </w:r>
    </w:p>
    <w:p>
      <w:r>
        <w:t>Visitors should respect patient privacy and should not access confidential records.</w:t>
      </w:r>
    </w:p>
    <w:p>
      <w:pPr>
        <w:pStyle w:val="Heading1"/>
      </w:pPr>
      <w:r>
        <w:t>Restricted Areas</w:t>
      </w:r>
    </w:p>
    <w:p>
      <w:r>
        <w:t>Clinical, pharmacy, laboratory, and other controlled areas may require authorization.</w:t>
      </w:r>
    </w:p>
    <w:p>
      <w:pPr>
        <w:pStyle w:val="Heading1"/>
      </w:pPr>
      <w:r>
        <w:t>Safety</w:t>
      </w:r>
    </w:p>
    <w:p>
      <w:r>
        <w:t>Visitors must follow staff instructions during emergencies and infection-control situations.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