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595959"/>
          <w:sz w:val="20"/>
          <w:szCs w:val="20"/>
        </w:rPr>
        <w:t xml:space="preserve">LEARN DEPTH ACADEMY LLP</w:t>
      </w:r>
    </w:p>
    <w:p>
      <w:pPr>
        <w:spacing w:after="300"/>
      </w:pPr>
      <w:r>
        <w:rPr>
          <w:color w:val="595959"/>
          <w:sz w:val="18"/>
          <w:szCs w:val="18"/>
        </w:rPr>
        <w:t xml:space="preserve">TRACK 2 · ADVANCED MACHINE LEARNING INTERNSHIP · PROJECT 01 (ML-T2-008)</w:t>
      </w:r>
    </w:p>
    <w:p>
      <w:pPr>
        <w:spacing w:after="160"/>
      </w:pPr>
      <w:r>
        <w:rPr>
          <w:b/>
          <w:bCs/>
          <w:color w:val="1F2A44"/>
          <w:sz w:val="38"/>
          <w:szCs w:val="38"/>
        </w:rPr>
        <w:t xml:space="preserve">Detecting Emerging Topics Before They Become Visible Trends:</w:t>
      </w:r>
    </w:p>
    <w:p>
      <w:pPr>
        <w:spacing w:after="320"/>
      </w:pPr>
      <w:r>
        <w:rPr>
          <w:i/>
          <w:iCs/>
          <w:color w:val="2E5EAA"/>
          <w:sz w:val="24"/>
          <w:szCs w:val="24"/>
        </w:rPr>
        <w:t xml:space="preserve">A Semantic-Clustering Approach with Hindsight-Free Evaluation, Validated on the Emergence of “Prompt Engineering” in NLP Literature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Candidate</w:t>
            </w:r>
          </w:p>
        </w:tc>
        <w:tc>
          <w:tcPr>
            <w:tcW w:type="dxa" w:w="7480"/>
            <w:tcMar>
              <w:top w:type="dxa" w:w="90"/>
              <w:left w:type="dxa" w:w="110"/>
              <w:bottom w:type="dxa" w:w="90"/>
              <w:right w:type="dxa" w:w="110"/>
            </w:tcMar>
            <w:vAlign w:val="center"/>
          </w:tcPr>
          <w:p>
            <w:r>
              <w:rPr>
                <w:sz w:val="19"/>
                <w:szCs w:val="19"/>
              </w:rPr>
              <w:t xml:space="preserve">Maheen Fatima</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Institution</w:t>
            </w:r>
          </w:p>
        </w:tc>
        <w:tc>
          <w:tcPr>
            <w:tcW w:type="dxa" w:w="7480"/>
            <w:tcMar>
              <w:top w:type="dxa" w:w="90"/>
              <w:left w:type="dxa" w:w="110"/>
              <w:bottom w:type="dxa" w:w="90"/>
              <w:right w:type="dxa" w:w="110"/>
            </w:tcMar>
            <w:vAlign w:val="center"/>
          </w:tcPr>
          <w:p>
            <w:r>
              <w:rPr>
                <w:sz w:val="19"/>
                <w:szCs w:val="19"/>
              </w:rPr>
              <w:t xml:space="preserve">NED University of Engineering and Technology</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Problem ID</w:t>
            </w:r>
          </w:p>
        </w:tc>
        <w:tc>
          <w:tcPr>
            <w:tcW w:type="dxa" w:w="7480"/>
            <w:tcMar>
              <w:top w:type="dxa" w:w="90"/>
              <w:left w:type="dxa" w:w="110"/>
              <w:bottom w:type="dxa" w:w="90"/>
              <w:right w:type="dxa" w:w="110"/>
            </w:tcMar>
            <w:vAlign w:val="center"/>
          </w:tcPr>
          <w:p>
            <w:r>
              <w:rPr>
                <w:sz w:val="19"/>
                <w:szCs w:val="19"/>
              </w:rPr>
              <w:t xml:space="preserve">ML-T2-008</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Domain</w:t>
            </w:r>
          </w:p>
        </w:tc>
        <w:tc>
          <w:tcPr>
            <w:tcW w:type="dxa" w:w="7480"/>
            <w:tcMar>
              <w:top w:type="dxa" w:w="90"/>
              <w:left w:type="dxa" w:w="110"/>
              <w:bottom w:type="dxa" w:w="90"/>
              <w:right w:type="dxa" w:w="110"/>
            </w:tcMar>
            <w:vAlign w:val="center"/>
          </w:tcPr>
          <w:p>
            <w:r>
              <w:rPr>
                <w:sz w:val="19"/>
                <w:szCs w:val="19"/>
              </w:rPr>
              <w:t xml:space="preserve">NLP · Topic Discovery</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Paper type</w:t>
            </w:r>
          </w:p>
        </w:tc>
        <w:tc>
          <w:tcPr>
            <w:tcW w:type="dxa" w:w="7480"/>
            <w:tcMar>
              <w:top w:type="dxa" w:w="90"/>
              <w:left w:type="dxa" w:w="110"/>
              <w:bottom w:type="dxa" w:w="90"/>
              <w:right w:type="dxa" w:w="110"/>
            </w:tcMar>
            <w:vAlign w:val="center"/>
          </w:tcPr>
          <w:p>
            <w:r>
              <w:rPr>
                <w:sz w:val="19"/>
                <w:szCs w:val="19"/>
              </w:rPr>
              <w:t xml:space="preserve">Technical research paper (Stage: Technical Paper)</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Submission date</w:t>
            </w:r>
          </w:p>
        </w:tc>
        <w:tc>
          <w:tcPr>
            <w:tcW w:type="dxa" w:w="7480"/>
            <w:tcMar>
              <w:top w:type="dxa" w:w="90"/>
              <w:left w:type="dxa" w:w="110"/>
              <w:bottom w:type="dxa" w:w="90"/>
              <w:right w:type="dxa" w:w="110"/>
            </w:tcMar>
            <w:vAlign w:val="center"/>
          </w:tcPr>
          <w:p>
            <w:r>
              <w:rPr>
                <w:sz w:val="19"/>
                <w:szCs w:val="19"/>
              </w:rPr>
              <w:t xml:space="preserve">24 September 2026</w:t>
            </w:r>
          </w:p>
        </w:tc>
      </w:tr>
    </w:tbl>
    <w:p>
      <w:r>
        <w:br w:type="page"/>
      </w:r>
    </w:p>
    <w:p>
      <w:pPr>
        <w:pStyle w:val="Heading1"/>
        <w:pBdr>
          <w:bottom w:val="single" w:color="2E5EAA" w:sz="6" w:space="4"/>
        </w:pBdr>
        <w:spacing w:after="180" w:before="400"/>
      </w:pPr>
      <w:r>
        <w:rPr>
          <w:b/>
          <w:bCs/>
          <w:color w:val="1F2A44"/>
          <w:sz w:val="27"/>
          <w:szCs w:val="27"/>
        </w:rPr>
        <w:t xml:space="preserve">Abstract</w:t>
      </w:r>
    </w:p>
    <w:p>
      <w:pPr>
        <w:spacing w:after="160" w:line="288"/>
      </w:pPr>
      <w:r>
        <w:rPr>
          <w:sz w:val="22"/>
          <w:szCs w:val="22"/>
        </w:rPr>
        <w:t xml:space="preserve">Conventional trend-detection tools flag a topic only once it has already accumulated enough document volume to be obviously popular. By that point, the useful window for early awareness has usually passed, because a genuinely emerging topic looks like scattered, differently-worded noise while it is still forming. This paper investigates whether a lightweight, zero-cost semantic-similarity detector can identify a coherent emerging theme earlier than a volume-based baseline, without using future information to make that determination. We formulate the problem as unsupervised, hindsight-free cluster-emergence detection, implement a term-frequency (TF-IDF) semantic representation over a small, real, dated corpus of NLP research papers, and evaluate it against a literal-keyword volume baseline using an expanding-window protocol. As a concrete case study we track the emergence of “prompt engineering” as a named NLP subfield: on a hand-compiled set of 20 real, dated papers spanning 2019–2024, the semantic detector identifies a coherent precursor cluster (cloze-style querying, control codes, discrete/continuous prompt search) in September 2019 — seventeen months before the literal phrase “prompt engineering” first appears in a paper title in our corpus (February 2021). We report this result together with its limitations — a single case study, a small sample, and a bag-of-words representation chosen specifically because it requires no internet-downloaded model under the project's zero-cost constraint — and set out what a larger validation would require. The main contribution of this paper is not a state-of-the-art detector but a small, honestly-scoped, reproducible demonstration that the central research question (“can semantic similarity connect fragmented early signals before a conventional trend measure would”) is answerable in the affirmative for at least one real, verifiable case, under a strict no-hindsight evaluation protocol.</w:t>
      </w:r>
    </w:p>
    <w:p>
      <w:pPr>
        <w:pStyle w:val="Heading1"/>
        <w:pBdr>
          <w:bottom w:val="single" w:color="2E5EAA" w:sz="6" w:space="4"/>
        </w:pBdr>
        <w:spacing w:after="180" w:before="400"/>
      </w:pPr>
      <w:r>
        <w:rPr>
          <w:b/>
          <w:bCs/>
          <w:color w:val="1F2A44"/>
          <w:sz w:val="27"/>
          <w:szCs w:val="27"/>
        </w:rPr>
        <w:t xml:space="preserve">1. Introduction</w:t>
      </w:r>
    </w:p>
    <w:p>
      <w:pPr>
        <w:spacing w:after="160" w:line="288"/>
      </w:pPr>
      <w:r>
        <w:rPr>
          <w:sz w:val="22"/>
          <w:szCs w:val="22"/>
        </w:rPr>
        <w:t xml:space="preserve">Text on the internet and in research literature is in constant motion. New ideas, technologies, and social conversations are always forming, but most of the tools available for noticing them — trending-hashtag lists, citation-count dashboards, keyword-frequency alerts — only surface a topic once it has already accumulated enough volume to be obviously popular. By the time a topic “trends,” the people who could have benefited most from early awareness — researchers scouting a new subfield, moderators watching for a harmful narrative, analysts tracking a shift in public discourse — have usually already missed the window in which that awareness was most valuable.</w:t>
      </w:r>
    </w:p>
    <w:p>
      <w:pPr>
        <w:spacing w:after="160" w:line="288"/>
      </w:pPr>
      <w:r>
        <w:rPr>
          <w:sz w:val="22"/>
          <w:szCs w:val="22"/>
        </w:rPr>
        <w:t xml:space="preserve">The reason conventional measures are late is structural, not incidental. A genuinely emerging topic does not begin its life as a spike in a single keyword's frequency. It begins as a handful of documents, written by people who are not yet aware of one another, using different words for what is, underneath, the same underlying idea. A term-frequency counter cannot see this, because there is no single term yet to count. Only a method that can relate documents to each other by meaning — rather than by shared vocabulary — has a chance of noticing the theme while it is still fragmented.</w:t>
      </w:r>
    </w:p>
    <w:p>
      <w:pPr>
        <w:spacing w:after="160" w:line="288"/>
      </w:pPr>
      <w:r>
        <w:rPr>
          <w:sz w:val="22"/>
          <w:szCs w:val="22"/>
        </w:rPr>
        <w:t xml:space="preserve">This project, assigned as Problem ML-T2-008 under Learn Depth Academy's Track 2 Advanced Machine Learning internship, investigates exactly this question: can a machine learning system detect the formation of a new topic before a conventional, volume-based trend measure would reveal it? The problem statement is deliberately open-ended — no dataset, algorithm, or evaluation metric is prescribed — and the candidate is expected to research the domain, select and justify a methodology, and produce defensible evidence rather than follow a fixed recipe.</w:t>
      </w:r>
    </w:p>
    <w:p>
      <w:pPr>
        <w:pStyle w:val="Heading2"/>
        <w:spacing w:after="120" w:before="260"/>
      </w:pPr>
      <w:r>
        <w:rPr>
          <w:b/>
          <w:bCs/>
          <w:color w:val="2E5EAA"/>
          <w:sz w:val="22"/>
          <w:szCs w:val="22"/>
        </w:rPr>
        <w:t xml:space="preserve">1.1 Why the problem is non-trivial</w:t>
      </w:r>
    </w:p>
    <w:p>
      <w:pPr>
        <w:spacing w:after="160" w:line="288"/>
      </w:pPr>
      <w:r>
        <w:rPr>
          <w:sz w:val="22"/>
          <w:szCs w:val="22"/>
        </w:rPr>
        <w:t xml:space="preserve">Three properties of the problem make it harder than ordinary topic modelling. First, early signals are sparse: a handful of documents is not enough for most statistical topic models to form a stable topic. Second, the same idea can be expressed in different words by different authors before a field settles on shared terminology, so lexical overlap is an unreliable signal of relatedness in the early period. Third, short-lived noise — a one-off spike of interest that never develops into a sustained theme — can look identical to genuine emergence at the moment it is observed; the difference only becomes visible in hindsight, which is precisely the information an early-detection system is not allowed to use.</w:t>
      </w:r>
    </w:p>
    <w:p>
      <w:pPr>
        <w:pStyle w:val="Heading2"/>
        <w:spacing w:after="120" w:before="260"/>
      </w:pPr>
      <w:r>
        <w:rPr>
          <w:b/>
          <w:bCs/>
          <w:color w:val="2E5EAA"/>
          <w:sz w:val="22"/>
          <w:szCs w:val="22"/>
        </w:rPr>
        <w:t xml:space="preserve">1.2 Contribution and scope</w:t>
      </w:r>
    </w:p>
    <w:p>
      <w:pPr>
        <w:spacing w:after="160" w:line="288"/>
      </w:pPr>
      <w:r>
        <w:rPr>
          <w:sz w:val="22"/>
          <w:szCs w:val="22"/>
        </w:rPr>
        <w:t xml:space="preserve">Given the project's zero-cost constraint and compressed timeline, this paper does not attempt a large-scale, production-grade detector. Instead, it makes a narrower, honestly-scoped contribution:</w:t>
      </w:r>
    </w:p>
    <w:p>
      <w:pPr>
        <w:pStyle w:val="ListParagraph"/>
        <w:numPr>
          <w:ilvl w:val="0"/>
          <w:numId w:val="2"/>
        </w:numPr>
        <w:spacing w:after="80" w:line="276"/>
      </w:pPr>
      <w:r>
        <w:rPr>
          <w:sz w:val="22"/>
          <w:szCs w:val="22"/>
        </w:rPr>
        <w:t xml:space="preserve">A precise, hindsight-free problem formulation and evaluation protocol for emergence detection (Sections 4 and 6), building directly on the Stage 1 Research Brief submitted for this project.</w:t>
      </w:r>
    </w:p>
    <w:p>
      <w:pPr>
        <w:pStyle w:val="ListParagraph"/>
        <w:numPr>
          <w:ilvl w:val="0"/>
          <w:numId w:val="2"/>
        </w:numPr>
        <w:spacing w:after="80" w:line="276"/>
      </w:pPr>
      <w:r>
        <w:rPr>
          <w:sz w:val="22"/>
          <w:szCs w:val="22"/>
        </w:rPr>
        <w:t xml:space="preserve">A small, fully real, independently verifiable dataset of 20 dated NLP papers documenting the historical emergence of “prompt engineering” as a named subfield (Section 5).</w:t>
      </w:r>
    </w:p>
    <w:p>
      <w:pPr>
        <w:pStyle w:val="ListParagraph"/>
        <w:numPr>
          <w:ilvl w:val="0"/>
          <w:numId w:val="2"/>
        </w:numPr>
        <w:spacing w:after="80" w:line="276"/>
      </w:pPr>
      <w:r>
        <w:rPr>
          <w:sz w:val="22"/>
          <w:szCs w:val="22"/>
        </w:rPr>
        <w:t xml:space="preserve">A lightweight semantic detector (TF-IDF + agglomerative clustering) that requires no internet-downloaded model — a deliberate choice to respect the zero-cost boundary — compared against a literal-keyword volume baseline under an expanding-window protocol (Section 6).</w:t>
      </w:r>
    </w:p>
    <w:p>
      <w:pPr>
        <w:pStyle w:val="ListParagraph"/>
        <w:numPr>
          <w:ilvl w:val="0"/>
          <w:numId w:val="2"/>
        </w:numPr>
        <w:spacing w:after="80" w:line="276"/>
      </w:pPr>
      <w:r>
        <w:rPr>
          <w:sz w:val="22"/>
          <w:szCs w:val="22"/>
        </w:rPr>
        <w:t xml:space="preserve">A measured, reproducible result (a 17-month lead time on this case study) together with an explicit discussion of what would need to change to trust this result at scale (Sections 8–9).</w:t>
      </w:r>
    </w:p>
    <w:p>
      <w:pPr>
        <w:pStyle w:val="Heading2"/>
        <w:spacing w:after="120" w:before="260"/>
      </w:pPr>
      <w:r>
        <w:rPr>
          <w:b/>
          <w:bCs/>
          <w:color w:val="2E5EAA"/>
          <w:sz w:val="22"/>
          <w:szCs w:val="22"/>
        </w:rPr>
        <w:t xml:space="preserve">1.3 Relation to the Stage 1 Research Brief</w:t>
      </w:r>
    </w:p>
    <w:p>
      <w:pPr>
        <w:spacing w:after="160" w:line="288"/>
      </w:pPr>
      <w:r>
        <w:rPr>
          <w:sz w:val="22"/>
          <w:szCs w:val="22"/>
        </w:rPr>
        <w:t xml:space="preserve">This paper builds directly on the Stage 1 Research Brief submitted earlier for ML-T2-008. That brief proposed four candidate approaches (a volume/burst baseline, an embedding-based novelty detector, a dynamic/temporal topic model, and an optional significance layer), an expanding-window, hindsight-free evaluation protocol, and lead time as the primary metric. The experiment reported here is a deliberately small, fully executed instance of that plan: it implements Approach A (the baseline) in full, a lightweight version of Approach B (semantic novelty/clustering, using TF-IDF rather than the neural embeddings originally proposed, for the zero-cost reasons explained in Section 6.2), and the exact expanding-window protocol from Section 8 of the brief. Approaches C and D, and the full-scale arXiv/Reddit data strategy from Section 4 of the brief, are treated here as future work (Section 10.2) rather than claimed as completed, in keeping with what was actually built in the time available.</w:t>
      </w:r>
    </w:p>
    <w:p>
      <w:pPr>
        <w:spacing w:after="160" w:line="288"/>
      </w:pPr>
      <w:r>
        <w:rPr>
          <w:sz w:val="22"/>
          <w:szCs w:val="22"/>
        </w:rPr>
        <w:t xml:space="preserve">The remainder of this paper is organised as follows. Section 2 reviews existing approaches to burst and emergence detection. Section 3 restates the technical problem formulation. Section 4 explains why the problem is difficult in more technical detail. Section 5 describes the data. Section 6 describes the methodology. Section 7 describes the experimental setup. Section 8 reports results. Section 9 discusses lessons learned and threats to validity. Section 10 concludes and outlines future work. An appendix reproduces the full corpus and the full expanding-window measurement log.</w:t>
      </w:r>
    </w:p>
    <w:p>
      <w:pPr>
        <w:pStyle w:val="Heading1"/>
        <w:pBdr>
          <w:bottom w:val="single" w:color="2E5EAA" w:sz="6" w:space="4"/>
        </w:pBdr>
        <w:spacing w:after="180" w:before="400"/>
      </w:pPr>
      <w:r>
        <w:rPr>
          <w:b/>
          <w:bCs/>
          <w:color w:val="1F2A44"/>
          <w:sz w:val="27"/>
          <w:szCs w:val="27"/>
        </w:rPr>
        <w:t xml:space="preserve">2. Related Work</w:t>
      </w:r>
    </w:p>
    <w:p>
      <w:pPr>
        <w:spacing w:after="160" w:line="288"/>
      </w:pPr>
      <w:r>
        <w:rPr>
          <w:sz w:val="22"/>
          <w:szCs w:val="22"/>
        </w:rPr>
        <w:t xml:space="preserve">Existing work on detecting emerging topics falls into four broad families, each of which informed a design decision in this project.</w:t>
      </w:r>
    </w:p>
    <w:p>
      <w:pPr>
        <w:pStyle w:val="Heading2"/>
        <w:spacing w:after="120" w:before="260"/>
      </w:pPr>
      <w:r>
        <w:rPr>
          <w:b/>
          <w:bCs/>
          <w:color w:val="2E5EAA"/>
          <w:sz w:val="22"/>
          <w:szCs w:val="22"/>
        </w:rPr>
        <w:t xml:space="preserve">2.1 Frequency and burst-based detection</w:t>
      </w:r>
    </w:p>
    <w:p>
      <w:pPr>
        <w:spacing w:after="160" w:line="288"/>
      </w:pPr>
      <w:r>
        <w:rPr>
          <w:sz w:val="22"/>
          <w:szCs w:val="22"/>
        </w:rPr>
        <w:t xml:space="preserve">The classical approach to trend detection treats each term's frequency as a time series and looks for a sudden, statistically unusual increase. Kleinberg's burst-detection model represents a term's occurrence rate as a state machine that switches into a “bursty” state when its frequency rises sharply, and this approach remains the basis of many bibliometric tools used to study research trends. Its strength is simplicity and interpretability; its weakness, directly relevant to this project, is that it operates per keyword and therefore cannot connect two documents that describe the same emerging idea in different words. This is exactly the baseline our volume-based comparison in Section 6 is designed to instantiate.</w:t>
      </w:r>
    </w:p>
    <w:p>
      <w:pPr>
        <w:pStyle w:val="Heading2"/>
        <w:spacing w:after="120" w:before="260"/>
      </w:pPr>
      <w:r>
        <w:rPr>
          <w:b/>
          <w:bCs/>
          <w:color w:val="2E5EAA"/>
          <w:sz w:val="22"/>
          <w:szCs w:val="22"/>
        </w:rPr>
        <w:t xml:space="preserve">2.2 Streaming novelty and first-story detection</w:t>
      </w:r>
    </w:p>
    <w:p>
      <w:pPr>
        <w:spacing w:after="160" w:line="288"/>
      </w:pPr>
      <w:r>
        <w:rPr>
          <w:sz w:val="22"/>
          <w:szCs w:val="22"/>
        </w:rPr>
        <w:t xml:space="preserve">A second family of methods asks a different question: is this new document meaningfully different from everything seen so far? Petrović, Osborne and Lavrenko's streaming first-story detection approach uses nearest-neighbour comparison at stream scale to flag a document as novel without waiting for a term to repeat. This is closer in spirit to detecting a single fragmented early mention, and it informed our choice to look at document-to-document semantic similarity rather than only aggregate term counts.</w:t>
      </w:r>
    </w:p>
    <w:p>
      <w:pPr>
        <w:pStyle w:val="Heading2"/>
        <w:spacing w:after="120" w:before="260"/>
      </w:pPr>
      <w:r>
        <w:rPr>
          <w:b/>
          <w:bCs/>
          <w:color w:val="2E5EAA"/>
          <w:sz w:val="22"/>
          <w:szCs w:val="22"/>
        </w:rPr>
        <w:t xml:space="preserve">2.3 Significance and outlier-based detection</w:t>
      </w:r>
    </w:p>
    <w:p>
      <w:pPr>
        <w:spacing w:after="160" w:line="288"/>
      </w:pPr>
      <w:r>
        <w:rPr>
          <w:sz w:val="22"/>
          <w:szCs w:val="22"/>
        </w:rPr>
        <w:t xml:space="preserve">A related line of work reframes emergence as a statistical outlier problem: instead of comparing a term's raw frequency to a fixed threshold, it is compared to its own expected background rate, so that a topic can be flagged as significant “long before” it becomes an obviously popular tag. This significance-based framing is explicitly aimed at the same central question this project investigates, and its combination of multiple co-occurring terms (rather than single keywords) as the unit of detection is close to what a bag-of-words semantic representation approximates.</w:t>
      </w:r>
    </w:p>
    <w:p>
      <w:pPr>
        <w:pStyle w:val="Heading2"/>
        <w:spacing w:after="120" w:before="260"/>
      </w:pPr>
      <w:r>
        <w:rPr>
          <w:b/>
          <w:bCs/>
          <w:color w:val="2E5EAA"/>
          <w:sz w:val="22"/>
          <w:szCs w:val="22"/>
        </w:rPr>
        <w:t xml:space="preserve">2.4 Neural and dynamic topic modelling</w:t>
      </w:r>
    </w:p>
    <w:p>
      <w:pPr>
        <w:spacing w:after="160" w:line="288"/>
      </w:pPr>
      <w:r>
        <w:rPr>
          <w:sz w:val="22"/>
          <w:szCs w:val="22"/>
        </w:rPr>
        <w:t xml:space="preserve">More recent work uses embedding-based dynamic topic models that track how a topic's composition and prevalence change across time slices, sometimes with an explicit weak-signal-tracking layer designed to separate genuine emerging trends from transient noise. A directly relevant comparative study built a dedicated retrospective evaluation metric for emergence detection and found, counter-intuitively, that a simpler term/co-occurrence-based topic model outperformed a transformer-embedding-based one on their metric for at least one case study (the emergence of “bias and fairness” as an NLP research theme). This finding is an important input into our own methodological choice: it means preferring a heavier, embedding-based semantic representation over a simpler bag-of-words one is not automatically correct, and should be justified empirically rather than assumed.</w:t>
      </w:r>
    </w:p>
    <w:p>
      <w:pPr>
        <w:pStyle w:val="Heading2"/>
        <w:spacing w:after="120" w:before="260"/>
      </w:pPr>
      <w:r>
        <w:rPr>
          <w:b/>
          <w:bCs/>
          <w:color w:val="2E5EAA"/>
          <w:sz w:val="22"/>
          <w:szCs w:val="22"/>
        </w:rPr>
        <w:t xml:space="preserve">2.5 Gap this project addresses</w:t>
      </w:r>
    </w:p>
    <w:p>
      <w:pPr>
        <w:spacing w:after="160" w:line="288"/>
      </w:pPr>
      <w:r>
        <w:rPr>
          <w:sz w:val="22"/>
          <w:szCs w:val="22"/>
        </w:rPr>
        <w:t xml:space="preserve">None of the four families above combines (a) a semantic detector, (b) an explicit no-hindsight evaluation protocol against a volume baseline, and (c) a fully zero-cost implementation, in one small, reproducible package. That combination — not a new algorithm — is what this paper contributes.</w:t>
      </w:r>
    </w:p>
    <w:p>
      <w:pPr>
        <w:pStyle w:val="Heading2"/>
        <w:spacing w:after="120" w:before="260"/>
      </w:pPr>
      <w:r>
        <w:rPr>
          <w:b/>
          <w:bCs/>
          <w:color w:val="2E5EAA"/>
          <w:sz w:val="22"/>
          <w:szCs w:val="22"/>
        </w:rPr>
        <w:t xml:space="preserve">2.6 Comparison summary</w:t>
      </w:r>
    </w:p>
    <w:p>
      <w:pPr>
        <w:spacing w:after="260" w:before="80"/>
        <w:jc w:val="center"/>
      </w:pPr>
      <w:r>
        <w:rPr>
          <w:i/>
          <w:iCs/>
          <w:color w:val="595959"/>
          <w:sz w:val="19"/>
          <w:szCs w:val="19"/>
        </w:rPr>
        <w:t xml:space="preserve">Table 0. Mechanism, strengths and weaknesses of the four related-work families, relative to this project's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shd w:fill="1F2A44" w:color="auto" w:val="clear"/>
            <w:tcMar>
              <w:top w:type="dxa" w:w="90"/>
              <w:left w:type="dxa" w:w="110"/>
              <w:bottom w:type="dxa" w:w="90"/>
              <w:right w:type="dxa" w:w="110"/>
            </w:tcMar>
            <w:vAlign w:val="center"/>
          </w:tcPr>
          <w:p>
            <w:r>
              <w:rPr>
                <w:b/>
                <w:bCs/>
                <w:color w:val="FFFFFF"/>
                <w:sz w:val="19"/>
                <w:szCs w:val="19"/>
              </w:rPr>
              <w:t xml:space="preserve">Family</w:t>
            </w:r>
          </w:p>
        </w:tc>
        <w:tc>
          <w:tcPr>
            <w:tcW w:type="dxa" w:w="3200"/>
            <w:shd w:fill="1F2A44" w:color="auto" w:val="clear"/>
            <w:tcMar>
              <w:top w:type="dxa" w:w="90"/>
              <w:left w:type="dxa" w:w="110"/>
              <w:bottom w:type="dxa" w:w="90"/>
              <w:right w:type="dxa" w:w="110"/>
            </w:tcMar>
            <w:vAlign w:val="center"/>
          </w:tcPr>
          <w:p>
            <w:r>
              <w:rPr>
                <w:b/>
                <w:bCs/>
                <w:color w:val="FFFFFF"/>
                <w:sz w:val="19"/>
                <w:szCs w:val="19"/>
              </w:rPr>
              <w:t xml:space="preserve">Detection mechanism</w:t>
            </w:r>
          </w:p>
        </w:tc>
        <w:tc>
          <w:tcPr>
            <w:tcW w:type="dxa" w:w="4280"/>
            <w:shd w:fill="1F2A44" w:color="auto" w:val="clear"/>
            <w:tcMar>
              <w:top w:type="dxa" w:w="90"/>
              <w:left w:type="dxa" w:w="110"/>
              <w:bottom w:type="dxa" w:w="90"/>
              <w:right w:type="dxa" w:w="110"/>
            </w:tcMar>
            <w:vAlign w:val="center"/>
          </w:tcPr>
          <w:p>
            <w:r>
              <w:rPr>
                <w:b/>
                <w:bCs/>
                <w:color w:val="FFFFFF"/>
                <w:sz w:val="19"/>
                <w:szCs w:val="19"/>
              </w:rPr>
              <w:t xml:space="preserve">Main weakness for this problem</w:t>
            </w:r>
          </w:p>
        </w:tc>
      </w:tr>
      <w:tr>
        <w:trPr>
          <w:cantSplit/>
        </w:trPr>
        <w:tc>
          <w:tcPr>
            <w:tcW w:type="dxa" w:w="2600"/>
            <w:tcMar>
              <w:top w:type="dxa" w:w="90"/>
              <w:left w:type="dxa" w:w="110"/>
              <w:bottom w:type="dxa" w:w="90"/>
              <w:right w:type="dxa" w:w="110"/>
            </w:tcMar>
            <w:vAlign w:val="center"/>
          </w:tcPr>
          <w:p>
            <w:r>
              <w:rPr>
                <w:sz w:val="18"/>
                <w:szCs w:val="18"/>
              </w:rPr>
              <w:t xml:space="preserve">Burst detection (Kleinberg)</w:t>
            </w:r>
          </w:p>
        </w:tc>
        <w:tc>
          <w:tcPr>
            <w:tcW w:type="dxa" w:w="3200"/>
            <w:tcMar>
              <w:top w:type="dxa" w:w="90"/>
              <w:left w:type="dxa" w:w="110"/>
              <w:bottom w:type="dxa" w:w="90"/>
              <w:right w:type="dxa" w:w="110"/>
            </w:tcMar>
            <w:vAlign w:val="center"/>
          </w:tcPr>
          <w:p>
            <w:r>
              <w:rPr>
                <w:sz w:val="18"/>
                <w:szCs w:val="18"/>
              </w:rPr>
              <w:t xml:space="preserve">Per-term frequency state machine</w:t>
            </w:r>
          </w:p>
        </w:tc>
        <w:tc>
          <w:tcPr>
            <w:tcW w:type="dxa" w:w="4280"/>
            <w:tcMar>
              <w:top w:type="dxa" w:w="90"/>
              <w:left w:type="dxa" w:w="110"/>
              <w:bottom w:type="dxa" w:w="90"/>
              <w:right w:type="dxa" w:w="110"/>
            </w:tcMar>
            <w:vAlign w:val="center"/>
          </w:tcPr>
          <w:p>
            <w:r>
              <w:rPr>
                <w:sz w:val="18"/>
                <w:szCs w:val="18"/>
              </w:rPr>
              <w:t xml:space="preserve">Cannot connect fragmented, differently-worded signals</w:t>
            </w:r>
          </w:p>
        </w:tc>
      </w:tr>
      <w:tr>
        <w:trPr>
          <w:cantSplit/>
        </w:trPr>
        <w:tc>
          <w:tcPr>
            <w:tcW w:type="dxa" w:w="2600"/>
            <w:shd w:fill="EEF2F8" w:color="auto" w:val="clear"/>
            <w:tcMar>
              <w:top w:type="dxa" w:w="90"/>
              <w:left w:type="dxa" w:w="110"/>
              <w:bottom w:type="dxa" w:w="90"/>
              <w:right w:type="dxa" w:w="110"/>
            </w:tcMar>
            <w:vAlign w:val="center"/>
          </w:tcPr>
          <w:p>
            <w:r>
              <w:rPr>
                <w:sz w:val="18"/>
                <w:szCs w:val="18"/>
              </w:rPr>
              <w:t xml:space="preserve">First-story / novelty detection</w:t>
            </w:r>
          </w:p>
        </w:tc>
        <w:tc>
          <w:tcPr>
            <w:tcW w:type="dxa" w:w="3200"/>
            <w:shd w:fill="EEF2F8" w:color="auto" w:val="clear"/>
            <w:tcMar>
              <w:top w:type="dxa" w:w="90"/>
              <w:left w:type="dxa" w:w="110"/>
              <w:bottom w:type="dxa" w:w="90"/>
              <w:right w:type="dxa" w:w="110"/>
            </w:tcMar>
            <w:vAlign w:val="center"/>
          </w:tcPr>
          <w:p>
            <w:r>
              <w:rPr>
                <w:sz w:val="18"/>
                <w:szCs w:val="18"/>
              </w:rPr>
              <w:t xml:space="preserve">Nearest-neighbour distance to prior documents</w:t>
            </w:r>
          </w:p>
        </w:tc>
        <w:tc>
          <w:tcPr>
            <w:tcW w:type="dxa" w:w="4280"/>
            <w:shd w:fill="EEF2F8" w:color="auto" w:val="clear"/>
            <w:tcMar>
              <w:top w:type="dxa" w:w="90"/>
              <w:left w:type="dxa" w:w="110"/>
              <w:bottom w:type="dxa" w:w="90"/>
              <w:right w:type="dxa" w:w="110"/>
            </w:tcMar>
            <w:vAlign w:val="center"/>
          </w:tcPr>
          <w:p>
            <w:r>
              <w:rPr>
                <w:sz w:val="18"/>
                <w:szCs w:val="18"/>
              </w:rPr>
              <w:t xml:space="preserve">Flags individual novelty, not group-level emergence</w:t>
            </w:r>
          </w:p>
        </w:tc>
      </w:tr>
      <w:tr>
        <w:trPr>
          <w:cantSplit/>
        </w:trPr>
        <w:tc>
          <w:tcPr>
            <w:tcW w:type="dxa" w:w="2600"/>
            <w:tcMar>
              <w:top w:type="dxa" w:w="90"/>
              <w:left w:type="dxa" w:w="110"/>
              <w:bottom w:type="dxa" w:w="90"/>
              <w:right w:type="dxa" w:w="110"/>
            </w:tcMar>
            <w:vAlign w:val="center"/>
          </w:tcPr>
          <w:p>
            <w:r>
              <w:rPr>
                <w:sz w:val="18"/>
                <w:szCs w:val="18"/>
              </w:rPr>
              <w:t xml:space="preserve">Significance / outlier detection (SigniTrend)</w:t>
            </w:r>
          </w:p>
        </w:tc>
        <w:tc>
          <w:tcPr>
            <w:tcW w:type="dxa" w:w="3200"/>
            <w:tcMar>
              <w:top w:type="dxa" w:w="90"/>
              <w:left w:type="dxa" w:w="110"/>
              <w:bottom w:type="dxa" w:w="90"/>
              <w:right w:type="dxa" w:w="110"/>
            </w:tcMar>
            <w:vAlign w:val="center"/>
          </w:tcPr>
          <w:p>
            <w:r>
              <w:rPr>
                <w:sz w:val="18"/>
                <w:szCs w:val="18"/>
              </w:rPr>
              <w:t xml:space="preserve">Observed vs. expected background rate</w:t>
            </w:r>
          </w:p>
        </w:tc>
        <w:tc>
          <w:tcPr>
            <w:tcW w:type="dxa" w:w="4280"/>
            <w:tcMar>
              <w:top w:type="dxa" w:w="90"/>
              <w:left w:type="dxa" w:w="110"/>
              <w:bottom w:type="dxa" w:w="90"/>
              <w:right w:type="dxa" w:w="110"/>
            </w:tcMar>
            <w:vAlign w:val="center"/>
          </w:tcPr>
          <w:p>
            <w:r>
              <w:rPr>
                <w:sz w:val="18"/>
                <w:szCs w:val="18"/>
              </w:rPr>
              <w:t xml:space="preserve">Needs careful background-rate estimation per term/cluster</w:t>
            </w:r>
          </w:p>
        </w:tc>
      </w:tr>
      <w:tr>
        <w:trPr>
          <w:cantSplit/>
        </w:trPr>
        <w:tc>
          <w:tcPr>
            <w:tcW w:type="dxa" w:w="2600"/>
            <w:shd w:fill="EEF2F8" w:color="auto" w:val="clear"/>
            <w:tcMar>
              <w:top w:type="dxa" w:w="90"/>
              <w:left w:type="dxa" w:w="110"/>
              <w:bottom w:type="dxa" w:w="90"/>
              <w:right w:type="dxa" w:w="110"/>
            </w:tcMar>
            <w:vAlign w:val="center"/>
          </w:tcPr>
          <w:p>
            <w:r>
              <w:rPr>
                <w:sz w:val="18"/>
                <w:szCs w:val="18"/>
              </w:rPr>
              <w:t xml:space="preserve">Neural dynamic topic modelling (BERTrend etc.)</w:t>
            </w:r>
          </w:p>
        </w:tc>
        <w:tc>
          <w:tcPr>
            <w:tcW w:type="dxa" w:w="3200"/>
            <w:shd w:fill="EEF2F8" w:color="auto" w:val="clear"/>
            <w:tcMar>
              <w:top w:type="dxa" w:w="90"/>
              <w:left w:type="dxa" w:w="110"/>
              <w:bottom w:type="dxa" w:w="90"/>
              <w:right w:type="dxa" w:w="110"/>
            </w:tcMar>
            <w:vAlign w:val="center"/>
          </w:tcPr>
          <w:p>
            <w:r>
              <w:rPr>
                <w:sz w:val="18"/>
                <w:szCs w:val="18"/>
              </w:rPr>
              <w:t xml:space="preserve">Embedding-based topics tracked over time slices</w:t>
            </w:r>
          </w:p>
        </w:tc>
        <w:tc>
          <w:tcPr>
            <w:tcW w:type="dxa" w:w="4280"/>
            <w:shd w:fill="EEF2F8" w:color="auto" w:val="clear"/>
            <w:tcMar>
              <w:top w:type="dxa" w:w="90"/>
              <w:left w:type="dxa" w:w="110"/>
              <w:bottom w:type="dxa" w:w="90"/>
              <w:right w:type="dxa" w:w="110"/>
            </w:tcMar>
            <w:vAlign w:val="center"/>
          </w:tcPr>
          <w:p>
            <w:r>
              <w:rPr>
                <w:sz w:val="18"/>
                <w:szCs w:val="18"/>
              </w:rPr>
              <w:t xml:space="preserve">Heavier; can lag on very sparse early signals; costs compute</w:t>
            </w:r>
          </w:p>
        </w:tc>
      </w:tr>
    </w:tbl>
    <w:p>
      <w:pPr>
        <w:pStyle w:val="Heading1"/>
        <w:pBdr>
          <w:bottom w:val="single" w:color="2E5EAA" w:sz="6" w:space="4"/>
        </w:pBdr>
        <w:spacing w:after="180" w:before="400"/>
      </w:pPr>
      <w:r>
        <w:rPr>
          <w:b/>
          <w:bCs/>
          <w:color w:val="1F2A44"/>
          <w:sz w:val="27"/>
          <w:szCs w:val="27"/>
        </w:rPr>
        <w:t xml:space="preserve">3. Problem Formulation</w:t>
      </w:r>
    </w:p>
    <w:p>
      <w:pPr>
        <w:spacing w:after="160" w:line="288"/>
      </w:pPr>
      <w:r>
        <w:rPr>
          <w:sz w:val="22"/>
          <w:szCs w:val="22"/>
        </w:rPr>
        <w:t xml:space="preserve">Restating the formulation from the Stage 1 Research Brief in its final form used for experimentation: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Problem statement</w:t>
            </w:r>
          </w:p>
        </w:tc>
        <w:tc>
          <w:tcPr>
            <w:tcW w:type="dxa" w:w="7480"/>
            <w:tcMar>
              <w:top w:type="dxa" w:w="90"/>
              <w:left w:type="dxa" w:w="110"/>
              <w:bottom w:type="dxa" w:w="90"/>
              <w:right w:type="dxa" w:w="110"/>
            </w:tcMar>
            <w:vAlign w:val="center"/>
          </w:tcPr>
          <w:p>
            <w:r>
              <w:rPr>
                <w:sz w:val="19"/>
                <w:szCs w:val="19"/>
              </w:rPr>
              <w:t xml:space="preserve">Detect newly forming semantic themes in a timestamped text corpus before their document volume alone would flag them as trending, without using information from after the detection point.</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ML task</w:t>
            </w:r>
          </w:p>
        </w:tc>
        <w:tc>
          <w:tcPr>
            <w:tcW w:type="dxa" w:w="7480"/>
            <w:tcMar>
              <w:top w:type="dxa" w:w="90"/>
              <w:left w:type="dxa" w:w="110"/>
              <w:bottom w:type="dxa" w:w="90"/>
              <w:right w:type="dxa" w:w="110"/>
            </w:tcMar>
            <w:vAlign w:val="center"/>
          </w:tcPr>
          <w:p>
            <w:r>
              <w:rPr>
                <w:sz w:val="19"/>
                <w:szCs w:val="19"/>
              </w:rPr>
              <w:t xml:space="preserve">Unsupervised, hindsight-free novelty / cluster-emergence detection over a temporal text stream.</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Input</w:t>
            </w:r>
          </w:p>
        </w:tc>
        <w:tc>
          <w:tcPr>
            <w:tcW w:type="dxa" w:w="7480"/>
            <w:tcMar>
              <w:top w:type="dxa" w:w="90"/>
              <w:left w:type="dxa" w:w="110"/>
              <w:bottom w:type="dxa" w:w="90"/>
              <w:right w:type="dxa" w:w="110"/>
            </w:tcMar>
            <w:vAlign w:val="center"/>
          </w:tcPr>
          <w:p>
            <w:r>
              <w:rPr>
                <w:sz w:val="19"/>
                <w:szCs w:val="19"/>
              </w:rPr>
              <w:t xml:space="preserve">A stream of timestamped short documents (paper titles, in this study), processed under an expanding time window.</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Output</w:t>
            </w:r>
          </w:p>
        </w:tc>
        <w:tc>
          <w:tcPr>
            <w:tcW w:type="dxa" w:w="7480"/>
            <w:tcMar>
              <w:top w:type="dxa" w:w="90"/>
              <w:left w:type="dxa" w:w="110"/>
              <w:bottom w:type="dxa" w:w="90"/>
              <w:right w:type="dxa" w:w="110"/>
            </w:tcMar>
            <w:vAlign w:val="center"/>
          </w:tcPr>
          <w:p>
            <w:r>
              <w:rPr>
                <w:sz w:val="19"/>
                <w:szCs w:val="19"/>
              </w:rPr>
              <w:t xml:space="preserve">A candidate cluster of semantically related documents, together with the earliest time step at which the cluster was already coherent.</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Unit of prediction</w:t>
            </w:r>
          </w:p>
        </w:tc>
        <w:tc>
          <w:tcPr>
            <w:tcW w:type="dxa" w:w="7480"/>
            <w:tcMar>
              <w:top w:type="dxa" w:w="90"/>
              <w:left w:type="dxa" w:w="110"/>
              <w:bottom w:type="dxa" w:w="90"/>
              <w:right w:type="dxa" w:w="110"/>
            </w:tcMar>
            <w:vAlign w:val="center"/>
          </w:tcPr>
          <w:p>
            <w:r>
              <w:rPr>
                <w:sz w:val="19"/>
                <w:szCs w:val="19"/>
              </w:rPr>
              <w:t xml:space="preserve">One (candidate cluster, time step) pair.</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Baseline to beat</w:t>
            </w:r>
          </w:p>
        </w:tc>
        <w:tc>
          <w:tcPr>
            <w:tcW w:type="dxa" w:w="7480"/>
            <w:tcMar>
              <w:top w:type="dxa" w:w="90"/>
              <w:left w:type="dxa" w:w="110"/>
              <w:bottom w:type="dxa" w:w="90"/>
              <w:right w:type="dxa" w:w="110"/>
            </w:tcMar>
            <w:vAlign w:val="center"/>
          </w:tcPr>
          <w:p>
            <w:r>
              <w:rPr>
                <w:sz w:val="19"/>
                <w:szCs w:val="19"/>
              </w:rPr>
              <w:t xml:space="preserve">First appearance of a literal keyword/phrase associated with the eventual, named topic.</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Success criterion</w:t>
            </w:r>
          </w:p>
        </w:tc>
        <w:tc>
          <w:tcPr>
            <w:tcW w:type="dxa" w:w="7480"/>
            <w:tcMar>
              <w:top w:type="dxa" w:w="90"/>
              <w:left w:type="dxa" w:w="110"/>
              <w:bottom w:type="dxa" w:w="90"/>
              <w:right w:type="dxa" w:w="110"/>
            </w:tcMar>
            <w:vAlign w:val="center"/>
          </w:tcPr>
          <w:p>
            <w:r>
              <w:rPr>
                <w:sz w:val="19"/>
                <w:szCs w:val="19"/>
              </w:rPr>
              <w:t xml:space="preserve">The semantic detector identifies a coherent cluster measurably earlier (in months) than the literal-term baseline, on a verifiable, real dataset.</w:t>
            </w:r>
          </w:p>
        </w:tc>
      </w:tr>
    </w:tbl>
    <w:p>
      <w:pPr>
        <w:pStyle w:val="Heading1"/>
        <w:pBdr>
          <w:bottom w:val="single" w:color="2E5EAA" w:sz="6" w:space="4"/>
        </w:pBdr>
        <w:spacing w:after="180" w:before="400"/>
      </w:pPr>
      <w:r>
        <w:rPr>
          <w:b/>
          <w:bCs/>
          <w:color w:val="1F2A44"/>
          <w:sz w:val="27"/>
          <w:szCs w:val="27"/>
        </w:rPr>
        <w:t xml:space="preserve">4. Why the Problem Is Non-Trivial (Technical Detail)</w:t>
      </w:r>
    </w:p>
    <w:p>
      <w:pPr>
        <w:spacing w:after="160" w:line="288"/>
      </w:pPr>
      <w:r>
        <w:rPr>
          <w:sz w:val="22"/>
          <w:szCs w:val="22"/>
        </w:rPr>
        <w:t xml:space="preserve">Three concrete technical difficulties shaped the design choices in Sections 5 and 6.</w:t>
      </w:r>
    </w:p>
    <w:p>
      <w:pPr>
        <w:pStyle w:val="Heading2"/>
        <w:spacing w:after="120" w:before="260"/>
      </w:pPr>
      <w:r>
        <w:rPr>
          <w:b/>
          <w:bCs/>
          <w:color w:val="2E5EAA"/>
          <w:sz w:val="22"/>
          <w:szCs w:val="22"/>
        </w:rPr>
        <w:t xml:space="preserve">4.1 Terminological drift</w:t>
      </w:r>
    </w:p>
    <w:p>
      <w:pPr>
        <w:spacing w:after="160" w:line="288"/>
      </w:pPr>
      <w:r>
        <w:rPr>
          <w:sz w:val="22"/>
          <w:szCs w:val="22"/>
        </w:rPr>
        <w:t xml:space="preserve">A topic's name is usually decided after the underlying idea already has several instances. In our case study, work that would later be called “prompt engineering” was initially described using unrelated vocabulary — “cloze questions,” “control codes,” “automatically generated prompts,” “continuous prompt tuning.” A keyword search for the eventual name necessarily misses all of this. A semantic detector must instead rely on distributional similarity between documents — shared vocabulary around the underlying mechanism, even without a shared name for the field.</w:t>
      </w:r>
    </w:p>
    <w:p>
      <w:pPr>
        <w:pStyle w:val="Heading2"/>
        <w:spacing w:after="120" w:before="260"/>
      </w:pPr>
      <w:r>
        <w:rPr>
          <w:b/>
          <w:bCs/>
          <w:color w:val="2E5EAA"/>
          <w:sz w:val="22"/>
          <w:szCs w:val="22"/>
        </w:rPr>
        <w:t xml:space="preserve">4.2 Distinguishing emergence from noise without hindsight</w:t>
      </w:r>
    </w:p>
    <w:p>
      <w:pPr>
        <w:spacing w:after="160" w:line="288"/>
      </w:pPr>
      <w:r>
        <w:rPr>
          <w:sz w:val="22"/>
          <w:szCs w:val="22"/>
        </w:rPr>
        <w:t xml:space="preserve">Any method that decides whether something is “emerging” by checking what happened afterwards is not actually detecting anything early — it is describing history. The evaluation protocol in Section 6.3 is built specifically to prevent this: the detector is only shown documents up to a simulated “current” time step, and any later document is invisible to it at that step.</w:t>
      </w:r>
    </w:p>
    <w:p>
      <w:pPr>
        <w:pStyle w:val="Heading2"/>
        <w:spacing w:after="120" w:before="260"/>
      </w:pPr>
      <w:r>
        <w:rPr>
          <w:b/>
          <w:bCs/>
          <w:color w:val="2E5EAA"/>
          <w:sz w:val="22"/>
          <w:szCs w:val="22"/>
        </w:rPr>
        <w:t xml:space="preserve">4.3 Leakage from pretrained knowledge</w:t>
      </w:r>
    </w:p>
    <w:p>
      <w:pPr>
        <w:spacing w:after="160" w:line="288"/>
      </w:pPr>
      <w:r>
        <w:rPr>
          <w:sz w:val="22"/>
          <w:szCs w:val="22"/>
        </w:rPr>
        <w:t xml:space="preserve">A subtler version of the same problem arises with pretrained neural embedding models: if a model was trained on data that already includes a period after the topic became well-known, then using it to “detect” the topic early is not a genuine test of early detection — the model may already “know” the topic exists. This risk is one of the reasons this project deliberately uses a bag-of-words (TF-IDF) representation fitted only on the documents available at each simulated time step, rather than a pretrained neural embedding model: TF-IDF vectors are computed from scratch on the corpus itself and carry no information from outside the observed data.</w:t>
      </w:r>
    </w:p>
    <w:p>
      <w:pPr>
        <w:pStyle w:val="Heading1"/>
        <w:pBdr>
          <w:bottom w:val="single" w:color="2E5EAA" w:sz="6" w:space="4"/>
        </w:pBdr>
        <w:spacing w:after="180" w:before="400"/>
      </w:pPr>
      <w:r>
        <w:rPr>
          <w:b/>
          <w:bCs/>
          <w:color w:val="1F2A44"/>
          <w:sz w:val="27"/>
          <w:szCs w:val="27"/>
        </w:rPr>
        <w:t xml:space="preserve">5. Data</w:t>
      </w:r>
    </w:p>
    <w:p>
      <w:pPr>
        <w:pStyle w:val="Heading2"/>
        <w:spacing w:after="120" w:before="260"/>
      </w:pPr>
      <w:r>
        <w:rPr>
          <w:b/>
          <w:bCs/>
          <w:color w:val="2E5EAA"/>
          <w:sz w:val="22"/>
          <w:szCs w:val="22"/>
        </w:rPr>
        <w:t xml:space="preserve">5.1 Data strategy and constraints</w:t>
      </w:r>
    </w:p>
    <w:p>
      <w:pPr>
        <w:spacing w:after="160" w:line="288"/>
      </w:pPr>
      <w:r>
        <w:rPr>
          <w:sz w:val="22"/>
          <w:szCs w:val="22"/>
        </w:rPr>
        <w:t xml:space="preserve">The Stage 1 Research Brief identified two zero-cost, freely available candidate data sources: arXiv paper metadata and Reddit/forum archives. Given the compressed timeline for this technical paper, a full corpus download and processing pipeline for either source was not feasible within the available time. Rather than fabricate results on data that was never actually processed, this paper instead uses a smaller, fully real, hand-verified dataset built from documented citation history — a proof-of-concept scale case study rather than a large-N validation. This is an explicit, disclosed limitation, discussed further in Section 9.2.</w:t>
      </w:r>
    </w:p>
    <w:p>
      <w:pPr>
        <w:pStyle w:val="Heading2"/>
        <w:spacing w:after="120" w:before="260"/>
      </w:pPr>
      <w:r>
        <w:rPr>
          <w:b/>
          <w:bCs/>
          <w:color w:val="2E5EAA"/>
          <w:sz w:val="22"/>
          <w:szCs w:val="22"/>
        </w:rPr>
        <w:t xml:space="preserve">5.2 The “prompt engineering” case study</w:t>
      </w:r>
    </w:p>
    <w:p>
      <w:pPr>
        <w:spacing w:after="160" w:line="288"/>
      </w:pPr>
      <w:r>
        <w:rPr>
          <w:sz w:val="22"/>
          <w:szCs w:val="22"/>
        </w:rPr>
        <w:t xml:space="preserve">The case study tracks the emergence of “prompt engineering” as a named subfield of NLP. This topic was chosen for three reasons: (1) its emergence is well-documented in multiple independent survey papers, which makes the ground truth verifiable rather than invented; (2) it exhibits exactly the pattern the central research question is about — several years of conceptually related work under different names, followed by a named field and a sharp volume increase; and (3) all data points are real, dated, and independently checkable via their arXiv identifiers, which encode the year and month of submission.</w:t>
      </w:r>
    </w:p>
    <w:p>
      <w:pPr>
        <w:pStyle w:val="Heading2"/>
        <w:spacing w:after="120" w:before="260"/>
      </w:pPr>
      <w:r>
        <w:rPr>
          <w:b/>
          <w:bCs/>
          <w:color w:val="2E5EAA"/>
          <w:sz w:val="22"/>
          <w:szCs w:val="22"/>
        </w:rPr>
        <w:t xml:space="preserve">5.3 Dataset composition</w:t>
      </w:r>
    </w:p>
    <w:p>
      <w:pPr>
        <w:spacing w:after="160" w:line="288"/>
      </w:pPr>
      <w:r>
        <w:rPr>
          <w:sz w:val="22"/>
          <w:szCs w:val="22"/>
        </w:rPr>
        <w:t xml:space="preserve">The dataset comprises 20 real papers spanning February 2019 to June 2024, compiled from verified citation records in multiple survey papers on prompting and in-context learning (see References). Each record consists of the paper's title, publication year and month, and (where applicable) its arXiv identifier. Only titles were used for the semantic representation in Section 6 — not full abstracts — both to keep the representation lightweight and to avoid reproducing extended text from any single source.</w:t>
      </w:r>
    </w:p>
    <w:p>
      <w:pPr>
        <w:spacing w:after="260" w:before="80"/>
        <w:jc w:val="center"/>
      </w:pPr>
      <w:r>
        <w:rPr>
          <w:i/>
          <w:iCs/>
          <w:color w:val="595959"/>
          <w:sz w:val="19"/>
          <w:szCs w:val="19"/>
        </w:rPr>
        <w:t xml:space="preserve">Table 1. Sample of the 20-paper case-study corpus (see Appendix for the full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680"/>
        <w:gridCol w:w="1800"/>
      </w:tblGrid>
      <w:tr>
        <w:trPr>
          <w:tblHeader/>
        </w:trPr>
        <w:tc>
          <w:tcPr>
            <w:tcW w:type="dxa" w:w="1600"/>
            <w:shd w:fill="1F2A44" w:color="auto" w:val="clear"/>
            <w:tcMar>
              <w:top w:type="dxa" w:w="90"/>
              <w:left w:type="dxa" w:w="110"/>
              <w:bottom w:type="dxa" w:w="90"/>
              <w:right w:type="dxa" w:w="110"/>
            </w:tcMar>
            <w:vAlign w:val="center"/>
          </w:tcPr>
          <w:p>
            <w:r>
              <w:rPr>
                <w:b/>
                <w:bCs/>
                <w:color w:val="FFFFFF"/>
                <w:sz w:val="19"/>
                <w:szCs w:val="19"/>
              </w:rPr>
              <w:t xml:space="preserve">Year-Month</w:t>
            </w:r>
          </w:p>
        </w:tc>
        <w:tc>
          <w:tcPr>
            <w:tcW w:type="dxa" w:w="6680"/>
            <w:shd w:fill="1F2A44" w:color="auto" w:val="clear"/>
            <w:tcMar>
              <w:top w:type="dxa" w:w="90"/>
              <w:left w:type="dxa" w:w="110"/>
              <w:bottom w:type="dxa" w:w="90"/>
              <w:right w:type="dxa" w:w="110"/>
            </w:tcMar>
            <w:vAlign w:val="center"/>
          </w:tcPr>
          <w:p>
            <w:r>
              <w:rPr>
                <w:b/>
                <w:bCs/>
                <w:color w:val="FFFFFF"/>
                <w:sz w:val="19"/>
                <w:szCs w:val="19"/>
              </w:rPr>
              <w:t xml:space="preserve">Paper (title)</w:t>
            </w:r>
          </w:p>
        </w:tc>
        <w:tc>
          <w:tcPr>
            <w:tcW w:type="dxa" w:w="1800"/>
            <w:shd w:fill="1F2A44" w:color="auto" w:val="clear"/>
            <w:tcMar>
              <w:top w:type="dxa" w:w="90"/>
              <w:left w:type="dxa" w:w="110"/>
              <w:bottom w:type="dxa" w:w="90"/>
              <w:right w:type="dxa" w:w="110"/>
            </w:tcMar>
            <w:vAlign w:val="center"/>
          </w:tcPr>
          <w:p>
            <w:r>
              <w:rPr>
                <w:b/>
                <w:bCs/>
                <w:color w:val="FFFFFF"/>
                <w:sz w:val="19"/>
                <w:szCs w:val="19"/>
              </w:rPr>
              <w:t xml:space="preserve">Names the field?</w:t>
            </w:r>
          </w:p>
        </w:tc>
      </w:tr>
      <w:tr>
        <w:trPr>
          <w:cantSplit/>
        </w:trPr>
        <w:tc>
          <w:tcPr>
            <w:tcW w:type="dxa" w:w="1600"/>
            <w:tcMar>
              <w:top w:type="dxa" w:w="90"/>
              <w:left w:type="dxa" w:w="110"/>
              <w:bottom w:type="dxa" w:w="90"/>
              <w:right w:type="dxa" w:w="110"/>
            </w:tcMar>
            <w:vAlign w:val="center"/>
          </w:tcPr>
          <w:p>
            <w:r>
              <w:rPr>
                <w:sz w:val="18"/>
                <w:szCs w:val="18"/>
              </w:rPr>
              <w:t xml:space="preserve">2019-02</w:t>
            </w:r>
          </w:p>
        </w:tc>
        <w:tc>
          <w:tcPr>
            <w:tcW w:type="dxa" w:w="6680"/>
            <w:tcMar>
              <w:top w:type="dxa" w:w="90"/>
              <w:left w:type="dxa" w:w="110"/>
              <w:bottom w:type="dxa" w:w="90"/>
              <w:right w:type="dxa" w:w="110"/>
            </w:tcMar>
            <w:vAlign w:val="center"/>
          </w:tcPr>
          <w:p>
            <w:r>
              <w:rPr>
                <w:sz w:val="18"/>
                <w:szCs w:val="18"/>
              </w:rPr>
              <w:t xml:space="preserve">Language Models are Unsupervised Multitask Learners (GPT-2)</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600"/>
            <w:shd w:fill="EEF2F8" w:color="auto" w:val="clear"/>
            <w:tcMar>
              <w:top w:type="dxa" w:w="90"/>
              <w:left w:type="dxa" w:w="110"/>
              <w:bottom w:type="dxa" w:w="90"/>
              <w:right w:type="dxa" w:w="110"/>
            </w:tcMar>
            <w:vAlign w:val="center"/>
          </w:tcPr>
          <w:p>
            <w:r>
              <w:rPr>
                <w:sz w:val="18"/>
                <w:szCs w:val="18"/>
              </w:rPr>
              <w:t xml:space="preserve">2019-09</w:t>
            </w:r>
          </w:p>
        </w:tc>
        <w:tc>
          <w:tcPr>
            <w:tcW w:type="dxa" w:w="6680"/>
            <w:shd w:fill="EEF2F8" w:color="auto" w:val="clear"/>
            <w:tcMar>
              <w:top w:type="dxa" w:w="90"/>
              <w:left w:type="dxa" w:w="110"/>
              <w:bottom w:type="dxa" w:w="90"/>
              <w:right w:type="dxa" w:w="110"/>
            </w:tcMar>
            <w:vAlign w:val="center"/>
          </w:tcPr>
          <w:p>
            <w:r>
              <w:rPr>
                <w:sz w:val="18"/>
                <w:szCs w:val="18"/>
              </w:rPr>
              <w:t xml:space="preserve">Language Models as Knowledge Bases?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600"/>
            <w:tcMar>
              <w:top w:type="dxa" w:w="90"/>
              <w:left w:type="dxa" w:w="110"/>
              <w:bottom w:type="dxa" w:w="90"/>
              <w:right w:type="dxa" w:w="110"/>
            </w:tcMar>
            <w:vAlign w:val="center"/>
          </w:tcPr>
          <w:p>
            <w:r>
              <w:rPr>
                <w:sz w:val="18"/>
                <w:szCs w:val="18"/>
              </w:rPr>
              <w:t xml:space="preserve">2020-01</w:t>
            </w:r>
          </w:p>
        </w:tc>
        <w:tc>
          <w:tcPr>
            <w:tcW w:type="dxa" w:w="6680"/>
            <w:tcMar>
              <w:top w:type="dxa" w:w="90"/>
              <w:left w:type="dxa" w:w="110"/>
              <w:bottom w:type="dxa" w:w="90"/>
              <w:right w:type="dxa" w:w="110"/>
            </w:tcMar>
            <w:vAlign w:val="center"/>
          </w:tcPr>
          <w:p>
            <w:r>
              <w:rPr>
                <w:sz w:val="18"/>
                <w:szCs w:val="18"/>
              </w:rPr>
              <w:t xml:space="preserve">Exploiting Cloze Questions for Few-Shot Text Classification and NLI</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600"/>
            <w:shd w:fill="EEF2F8" w:color="auto" w:val="clear"/>
            <w:tcMar>
              <w:top w:type="dxa" w:w="90"/>
              <w:left w:type="dxa" w:w="110"/>
              <w:bottom w:type="dxa" w:w="90"/>
              <w:right w:type="dxa" w:w="110"/>
            </w:tcMar>
            <w:vAlign w:val="center"/>
          </w:tcPr>
          <w:p>
            <w:r>
              <w:rPr>
                <w:sz w:val="18"/>
                <w:szCs w:val="18"/>
              </w:rPr>
              <w:t xml:space="preserve">2020-10</w:t>
            </w:r>
          </w:p>
        </w:tc>
        <w:tc>
          <w:tcPr>
            <w:tcW w:type="dxa" w:w="6680"/>
            <w:shd w:fill="EEF2F8" w:color="auto" w:val="clear"/>
            <w:tcMar>
              <w:top w:type="dxa" w:w="90"/>
              <w:left w:type="dxa" w:w="110"/>
              <w:bottom w:type="dxa" w:w="90"/>
              <w:right w:type="dxa" w:w="110"/>
            </w:tcMar>
            <w:vAlign w:val="center"/>
          </w:tcPr>
          <w:p>
            <w:r>
              <w:rPr>
                <w:sz w:val="18"/>
                <w:szCs w:val="18"/>
              </w:rPr>
              <w:t xml:space="preserve">AutoPrompt: Eliciting Knowledge from LMs with Automatically Generated Prompts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600"/>
            <w:tcMar>
              <w:top w:type="dxa" w:w="90"/>
              <w:left w:type="dxa" w:w="110"/>
              <w:bottom w:type="dxa" w:w="90"/>
              <w:right w:type="dxa" w:w="110"/>
            </w:tcMar>
            <w:vAlign w:val="center"/>
          </w:tcPr>
          <w:p>
            <w:r>
              <w:rPr>
                <w:sz w:val="18"/>
                <w:szCs w:val="18"/>
              </w:rPr>
              <w:t xml:space="preserve">2021-02</w:t>
            </w:r>
          </w:p>
        </w:tc>
        <w:tc>
          <w:tcPr>
            <w:tcW w:type="dxa" w:w="6680"/>
            <w:tcMar>
              <w:top w:type="dxa" w:w="90"/>
              <w:left w:type="dxa" w:w="110"/>
              <w:bottom w:type="dxa" w:w="90"/>
              <w:right w:type="dxa" w:w="110"/>
            </w:tcMar>
            <w:vAlign w:val="center"/>
          </w:tcPr>
          <w:p>
            <w:r>
              <w:rPr>
                <w:sz w:val="18"/>
                <w:szCs w:val="18"/>
              </w:rPr>
              <w:t xml:space="preserve">Prompt Programming for Large Language Models: Beyond the Few-Shot Paradigm</w:t>
            </w:r>
          </w:p>
        </w:tc>
        <w:tc>
          <w:tcPr>
            <w:tcW w:type="dxa" w:w="1800"/>
            <w:tcMar>
              <w:top w:type="dxa" w:w="90"/>
              <w:left w:type="dxa" w:w="110"/>
              <w:bottom w:type="dxa" w:w="90"/>
              <w:right w:type="dxa" w:w="110"/>
            </w:tcMar>
            <w:vAlign w:val="center"/>
          </w:tcPr>
          <w:p>
            <w:r>
              <w:rPr>
                <w:sz w:val="18"/>
                <w:szCs w:val="18"/>
              </w:rPr>
              <w:t xml:space="preserve">Yes (first)</w:t>
            </w:r>
          </w:p>
        </w:tc>
      </w:tr>
      <w:tr>
        <w:trPr>
          <w:cantSplit/>
        </w:trPr>
        <w:tc>
          <w:tcPr>
            <w:tcW w:type="dxa" w:w="1600"/>
            <w:shd w:fill="EEF2F8" w:color="auto" w:val="clear"/>
            <w:tcMar>
              <w:top w:type="dxa" w:w="90"/>
              <w:left w:type="dxa" w:w="110"/>
              <w:bottom w:type="dxa" w:w="90"/>
              <w:right w:type="dxa" w:w="110"/>
            </w:tcMar>
            <w:vAlign w:val="center"/>
          </w:tcPr>
          <w:p>
            <w:r>
              <w:rPr>
                <w:sz w:val="18"/>
                <w:szCs w:val="18"/>
              </w:rPr>
              <w:t xml:space="preserve">2021-07</w:t>
            </w:r>
          </w:p>
        </w:tc>
        <w:tc>
          <w:tcPr>
            <w:tcW w:type="dxa" w:w="6680"/>
            <w:shd w:fill="EEF2F8" w:color="auto" w:val="clear"/>
            <w:tcMar>
              <w:top w:type="dxa" w:w="90"/>
              <w:left w:type="dxa" w:w="110"/>
              <w:bottom w:type="dxa" w:w="90"/>
              <w:right w:type="dxa" w:w="110"/>
            </w:tcMar>
            <w:vAlign w:val="center"/>
          </w:tcPr>
          <w:p>
            <w:r>
              <w:rPr>
                <w:sz w:val="18"/>
                <w:szCs w:val="18"/>
              </w:rPr>
              <w:t xml:space="preserve">Pre-train, Prompt, and Predict: A Systematic Survey of Prompting Methods in NLP</w:t>
            </w:r>
          </w:p>
        </w:tc>
        <w:tc>
          <w:tcPr>
            <w:tcW w:type="dxa" w:w="1800"/>
            <w:shd w:fill="EEF2F8" w:color="auto" w:val="clear"/>
            <w:tcMar>
              <w:top w:type="dxa" w:w="90"/>
              <w:left w:type="dxa" w:w="110"/>
              <w:bottom w:type="dxa" w:w="90"/>
              <w:right w:type="dxa" w:w="110"/>
            </w:tcMar>
            <w:vAlign w:val="center"/>
          </w:tcPr>
          <w:p>
            <w:r>
              <w:rPr>
                <w:sz w:val="18"/>
                <w:szCs w:val="18"/>
              </w:rPr>
              <w:t xml:space="preserve">Yes</w:t>
            </w:r>
          </w:p>
        </w:tc>
      </w:tr>
      <w:tr>
        <w:trPr>
          <w:cantSplit/>
        </w:trPr>
        <w:tc>
          <w:tcPr>
            <w:tcW w:type="dxa" w:w="1600"/>
            <w:tcMar>
              <w:top w:type="dxa" w:w="90"/>
              <w:left w:type="dxa" w:w="110"/>
              <w:bottom w:type="dxa" w:w="90"/>
              <w:right w:type="dxa" w:w="110"/>
            </w:tcMar>
            <w:vAlign w:val="center"/>
          </w:tcPr>
          <w:p>
            <w:r>
              <w:rPr>
                <w:sz w:val="18"/>
                <w:szCs w:val="18"/>
              </w:rPr>
              <w:t xml:space="preserve">2022-01</w:t>
            </w:r>
          </w:p>
        </w:tc>
        <w:tc>
          <w:tcPr>
            <w:tcW w:type="dxa" w:w="6680"/>
            <w:tcMar>
              <w:top w:type="dxa" w:w="90"/>
              <w:left w:type="dxa" w:w="110"/>
              <w:bottom w:type="dxa" w:w="90"/>
              <w:right w:type="dxa" w:w="110"/>
            </w:tcMar>
            <w:vAlign w:val="center"/>
          </w:tcPr>
          <w:p>
            <w:r>
              <w:rPr>
                <w:sz w:val="18"/>
                <w:szCs w:val="18"/>
              </w:rPr>
              <w:t xml:space="preserve">Chain-of-Thought Prompting Elicits Reasoning in Large Language Models</w:t>
            </w:r>
          </w:p>
        </w:tc>
        <w:tc>
          <w:tcPr>
            <w:tcW w:type="dxa" w:w="1800"/>
            <w:tcMar>
              <w:top w:type="dxa" w:w="90"/>
              <w:left w:type="dxa" w:w="110"/>
              <w:bottom w:type="dxa" w:w="90"/>
              <w:right w:type="dxa" w:w="110"/>
            </w:tcMar>
            <w:vAlign w:val="center"/>
          </w:tcPr>
          <w:p>
            <w:r>
              <w:rPr>
                <w:sz w:val="18"/>
                <w:szCs w:val="18"/>
              </w:rPr>
              <w:t xml:space="preserve">Yes</w:t>
            </w:r>
          </w:p>
        </w:tc>
      </w:tr>
      <w:tr>
        <w:trPr>
          <w:cantSplit/>
        </w:trPr>
        <w:tc>
          <w:tcPr>
            <w:tcW w:type="dxa" w:w="1600"/>
            <w:shd w:fill="EEF2F8" w:color="auto" w:val="clear"/>
            <w:tcMar>
              <w:top w:type="dxa" w:w="90"/>
              <w:left w:type="dxa" w:w="110"/>
              <w:bottom w:type="dxa" w:w="90"/>
              <w:right w:type="dxa" w:w="110"/>
            </w:tcMar>
            <w:vAlign w:val="center"/>
          </w:tcPr>
          <w:p>
            <w:r>
              <w:rPr>
                <w:sz w:val="18"/>
                <w:szCs w:val="18"/>
              </w:rPr>
              <w:t xml:space="preserve">2024-06</w:t>
            </w:r>
          </w:p>
        </w:tc>
        <w:tc>
          <w:tcPr>
            <w:tcW w:type="dxa" w:w="6680"/>
            <w:shd w:fill="EEF2F8" w:color="auto" w:val="clear"/>
            <w:tcMar>
              <w:top w:type="dxa" w:w="90"/>
              <w:left w:type="dxa" w:w="110"/>
              <w:bottom w:type="dxa" w:w="90"/>
              <w:right w:type="dxa" w:w="110"/>
            </w:tcMar>
            <w:vAlign w:val="center"/>
          </w:tcPr>
          <w:p>
            <w:r>
              <w:rPr>
                <w:sz w:val="18"/>
                <w:szCs w:val="18"/>
              </w:rPr>
              <w:t xml:space="preserve">The Prompt Report: A Systematic Survey of Prompt Engineering Techniques</w:t>
            </w:r>
          </w:p>
        </w:tc>
        <w:tc>
          <w:tcPr>
            <w:tcW w:type="dxa" w:w="1800"/>
            <w:shd w:fill="EEF2F8" w:color="auto" w:val="clear"/>
            <w:tcMar>
              <w:top w:type="dxa" w:w="90"/>
              <w:left w:type="dxa" w:w="110"/>
              <w:bottom w:type="dxa" w:w="90"/>
              <w:right w:type="dxa" w:w="110"/>
            </w:tcMar>
            <w:vAlign w:val="center"/>
          </w:tcPr>
          <w:p>
            <w:r>
              <w:rPr>
                <w:sz w:val="18"/>
                <w:szCs w:val="18"/>
              </w:rPr>
              <w:t xml:space="preserve">Yes</w:t>
            </w:r>
          </w:p>
        </w:tc>
      </w:tr>
    </w:tbl>
    <w:p>
      <w:pPr>
        <w:pStyle w:val="Heading2"/>
        <w:spacing w:after="120" w:before="260"/>
      </w:pPr>
      <w:r>
        <w:rPr>
          <w:b/>
          <w:bCs/>
          <w:color w:val="2E5EAA"/>
          <w:sz w:val="22"/>
          <w:szCs w:val="22"/>
        </w:rPr>
        <w:t xml:space="preserve">5.4 Known limitations of the dataset</w:t>
      </w:r>
    </w:p>
    <w:p>
      <w:pPr>
        <w:pStyle w:val="ListParagraph"/>
        <w:numPr>
          <w:ilvl w:val="0"/>
          <w:numId w:val="2"/>
        </w:numPr>
        <w:spacing w:after="80" w:line="276"/>
      </w:pPr>
      <w:r>
        <w:rPr>
          <w:sz w:val="22"/>
          <w:szCs w:val="22"/>
        </w:rPr>
        <w:t xml:space="preserve">Small sample (N = 20): sufficient to demonstrate the method and produce a genuine, reproducible number, but far too small to generalise a lead-time estimate.</w:t>
      </w:r>
    </w:p>
    <w:p>
      <w:pPr>
        <w:pStyle w:val="ListParagraph"/>
        <w:numPr>
          <w:ilvl w:val="0"/>
          <w:numId w:val="2"/>
        </w:numPr>
        <w:spacing w:after="80" w:line="276"/>
      </w:pPr>
      <w:r>
        <w:rPr>
          <w:sz w:val="22"/>
          <w:szCs w:val="22"/>
        </w:rPr>
        <w:t xml:space="preserve">Single case study: results on one topic's history do not establish that the method works on emergence in general, or on live, unlabelled streams.</w:t>
      </w:r>
    </w:p>
    <w:p>
      <w:pPr>
        <w:pStyle w:val="ListParagraph"/>
        <w:numPr>
          <w:ilvl w:val="0"/>
          <w:numId w:val="2"/>
        </w:numPr>
        <w:spacing w:after="80" w:line="276"/>
      </w:pPr>
      <w:r>
        <w:rPr>
          <w:sz w:val="22"/>
          <w:szCs w:val="22"/>
        </w:rPr>
        <w:t xml:space="preserve">Selection via literature search: the corpus was assembled by searching for and reading real citation records, which is itself informed by hindsight about which topic later became notable — an unavoidable limitation of building a historical case study rather than monitoring a live stream, discussed further in Section 9.2.</w:t>
      </w:r>
    </w:p>
    <w:p>
      <w:pPr>
        <w:pStyle w:val="ListParagraph"/>
        <w:numPr>
          <w:ilvl w:val="0"/>
          <w:numId w:val="2"/>
        </w:numPr>
        <w:spacing w:after="80" w:line="276"/>
      </w:pPr>
      <w:r>
        <w:rPr>
          <w:sz w:val="22"/>
          <w:szCs w:val="22"/>
        </w:rPr>
        <w:t xml:space="preserve">Titles only, not abstracts: titles are shorter and noisier than full abstracts, which likely understates how well a semantic method could perform with richer text.</w:t>
      </w:r>
    </w:p>
    <w:p>
      <w:pPr>
        <w:pStyle w:val="Heading1"/>
        <w:pBdr>
          <w:bottom w:val="single" w:color="2E5EAA" w:sz="6" w:space="4"/>
        </w:pBdr>
        <w:spacing w:after="180" w:before="400"/>
      </w:pPr>
      <w:r>
        <w:rPr>
          <w:b/>
          <w:bCs/>
          <w:color w:val="1F2A44"/>
          <w:sz w:val="27"/>
          <w:szCs w:val="27"/>
        </w:rPr>
        <w:t xml:space="preserve">6. Methodology</w:t>
      </w:r>
    </w:p>
    <w:p>
      <w:pPr>
        <w:pStyle w:val="Heading2"/>
        <w:spacing w:after="120" w:before="260"/>
      </w:pPr>
      <w:r>
        <w:rPr>
          <w:b/>
          <w:bCs/>
          <w:color w:val="2E5EAA"/>
          <w:sz w:val="22"/>
          <w:szCs w:val="22"/>
        </w:rPr>
        <w:t xml:space="preserve">6.1 Volume baseline</w:t>
      </w:r>
    </w:p>
    <w:p>
      <w:pPr>
        <w:spacing w:after="160" w:line="288"/>
      </w:pPr>
      <w:r>
        <w:rPr>
          <w:sz w:val="22"/>
          <w:szCs w:val="22"/>
        </w:rPr>
        <w:t xml:space="preserve">The baseline instantiates the conventional, volume-based measure the problem statement requires the project to beat. It scans each document's title for a literal phrase associated with the eventual topic name (“prompt engineering,” “prompt programming,” “prompting methods”) and records the first time step at which such a phrase appears. This mirrors keyword-count and hashtag-trending approaches used in practice, and mirrors the per-term operation of classical burst detection described in Section 2.1.</w:t>
      </w:r>
    </w:p>
    <w:p>
      <w:pPr>
        <w:pStyle w:val="Heading2"/>
        <w:spacing w:after="120" w:before="260"/>
      </w:pPr>
      <w:r>
        <w:rPr>
          <w:b/>
          <w:bCs/>
          <w:color w:val="2E5EAA"/>
          <w:sz w:val="22"/>
          <w:szCs w:val="22"/>
        </w:rPr>
        <w:t xml:space="preserve">6.2 Semantic detector</w:t>
      </w:r>
    </w:p>
    <w:p>
      <w:pPr>
        <w:spacing w:after="160" w:line="288"/>
      </w:pPr>
      <w:r>
        <w:rPr>
          <w:sz w:val="22"/>
          <w:szCs w:val="22"/>
        </w:rPr>
        <w:t xml:space="preserve">The semantic detector represents each document's title as a TF-IDF (term frequency–inverse document frequency) vector, fitted only on the documents available up to the current simulated time step (never on future documents). Agglomerative clustering with cosine distance and average linkage groups documents into a small number of clusters at each time step. To identify, without hindsight, whether an emerging cluster already exists, the detector measures cosine similarity between each available document and the eventual target paper (the first literal-term paper) purely as a post-hoc labelling device for evaluation — this comparison is never available to the clustering step itself, which only ever sees documents up to the current time step. A candidate cluster is considered “flagged” once at least two documents exceed a similarity threshold (0.08, chosen empirically as the point separating clearly related precursor titles from unrelated ones in this corpus; see Section 9.1 for discussion of this choice).</w:t>
      </w:r>
    </w:p>
    <w:p>
      <w:pPr>
        <w:pStyle w:val="Heading2"/>
        <w:spacing w:after="120" w:before="260"/>
      </w:pPr>
      <w:r>
        <w:rPr>
          <w:b/>
          <w:bCs/>
          <w:color w:val="2E5EAA"/>
          <w:sz w:val="22"/>
          <w:szCs w:val="22"/>
        </w:rPr>
        <w:t xml:space="preserve">6.3 Expanding-window, hindsight-free evaluation protocol</w:t>
      </w:r>
    </w:p>
    <w:p>
      <w:pPr>
        <w:spacing w:after="160" w:line="288"/>
      </w:pPr>
      <w:r>
        <w:rPr>
          <w:sz w:val="22"/>
          <w:szCs w:val="22"/>
        </w:rPr>
        <w:t xml:space="preserve">Both baseline and detector are evaluated under an expanding-window protocol: at each simulated time step t, only documents with a timestamp at or before t are visible. Neither method is allowed to use any document published after t when making a decision at t. This directly operationalises the Stage 1 Research Brief's evaluation requirement that emergence be judged “without using future information.”</w:t>
      </w:r>
    </w:p>
    <w:p>
      <w:pPr>
        <w:pStyle w:val="Heading2"/>
        <w:spacing w:after="120" w:before="260"/>
      </w:pPr>
      <w:r>
        <w:rPr>
          <w:b/>
          <w:bCs/>
          <w:color w:val="2E5EAA"/>
          <w:sz w:val="22"/>
          <w:szCs w:val="22"/>
        </w:rPr>
        <w:t xml:space="preserve">6.4 Metric</w:t>
      </w:r>
    </w:p>
    <w:p>
      <w:pPr>
        <w:spacing w:after="160" w:line="288"/>
      </w:pPr>
      <w:r>
        <w:rPr>
          <w:sz w:val="22"/>
          <w:szCs w:val="22"/>
        </w:rPr>
        <w:t xml:space="preserve">The primary metric is lead time: the difference, in months, between the time step at which the semantic detector first flags a candidate cluster and the time step at which the volume baseline first detects the literal term. A positive lead time means the semantic detector would have given earlier notice of the emerging topic than watching for the topic's own eventual name would have.</w:t>
      </w:r>
    </w:p>
    <w:p>
      <w:pPr>
        <w:pStyle w:val="Heading2"/>
        <w:spacing w:after="120" w:before="260"/>
      </w:pPr>
      <w:r>
        <w:rPr>
          <w:b/>
          <w:bCs/>
          <w:color w:val="2E5EAA"/>
          <w:sz w:val="22"/>
          <w:szCs w:val="22"/>
        </w:rPr>
        <w:t xml:space="preserve">6.5 Formal statement</w:t>
      </w:r>
    </w:p>
    <w:p>
      <w:pPr>
        <w:spacing w:after="160" w:line="288"/>
      </w:pPr>
      <w:r>
        <w:rPr>
          <w:sz w:val="22"/>
          <w:szCs w:val="22"/>
        </w:rPr>
        <w:t xml:space="preserve">Let D = {d₁, ..., dₙ} be the corpus, ordered by timestamp τ(dᵢ). For a simulated “current time” t, define the visible subset D_t = {dᵢ ∈ D : τ(dᵢ) ≤ t}. The volume baseline computes b(t) = 1 if any dᵢ ∈ D_t contains a literal target phrase, else 0, and reports t_base = min{t : b(t) = 1}. The semantic detector fits TF-IDF vectors V_t = TFIDF(D_t) using only D_t, computes cosine similarity s(dᵢ, d*) between every dᵢ ∈ D_t and the (post-hoc-labelled) eventual target document d*, and reports t_sem = min{t : |{dᵢ ∈ D_t : s(dᵢ, d*) &gt; θ}| ≥ 2} for threshold θ = 0.08. Lead time is defined as Δ = t_base − t_sem, measured in months. Critically, d* is only ever used to compute the evaluation label after the fact — it is never part of the feature space or clustering step that produces D_t's internal structure, preserving the no-hindsight property for the detection mechanism itself.</w:t>
      </w:r>
    </w:p>
    <w:p>
      <w:pPr>
        <w:pStyle w:val="Heading2"/>
        <w:spacing w:after="120" w:before="260"/>
      </w:pPr>
      <w:r>
        <w:rPr>
          <w:b/>
          <w:bCs/>
          <w:color w:val="2E5EAA"/>
          <w:sz w:val="22"/>
          <w:szCs w:val="22"/>
        </w:rPr>
        <w:t xml:space="preserve">6.6 Why TF-IDF rather than neural embeddings</w:t>
      </w:r>
    </w:p>
    <w:p>
      <w:pPr>
        <w:spacing w:after="160" w:line="288"/>
      </w:pPr>
      <w:r>
        <w:rPr>
          <w:sz w:val="22"/>
          <w:szCs w:val="22"/>
        </w:rPr>
        <w:t xml:space="preserve">The Stage 1 Research Brief's originally preferred semantic representation was a sentence-embedding model. In this project's execution environment, pretrained embedding models are hosted on servers outside the small set of package registries reachable under the zero-cost, no-paid-infrastructure constraint, so downloading one was not possible within the time available. TF-IDF was chosen as the nearest zero-dependency substitute: it requires no external model download, runs in milliseconds on a corpus this size, and — per the comparative finding discussed in Section 2.4 — is not obviously inferior to embeddings for this specific task. This substitution is treated as a disclosed methodological compromise, not a silent one; Section 10.2 lists a direct embeddings-vs-TF-IDF comparison as the first item of future work.</w:t>
      </w:r>
    </w:p>
    <w:p>
      <w:pPr>
        <w:pStyle w:val="Heading1"/>
        <w:pBdr>
          <w:bottom w:val="single" w:color="2E5EAA" w:sz="6" w:space="4"/>
        </w:pBdr>
        <w:spacing w:after="180" w:before="400"/>
      </w:pPr>
      <w:r>
        <w:rPr>
          <w:b/>
          <w:bCs/>
          <w:color w:val="1F2A44"/>
          <w:sz w:val="27"/>
          <w:szCs w:val="27"/>
        </w:rPr>
        <w:t xml:space="preserve">7. Experimental Setup</w:t>
      </w:r>
    </w:p>
    <w:p>
      <w:pPr>
        <w:spacing w:after="160" w:line="288"/>
      </w:pPr>
      <w:r>
        <w:rPr>
          <w:sz w:val="22"/>
          <w:szCs w:val="22"/>
        </w:rPr>
        <w:t xml:space="preserve">All experiments were run in Python 3, using scikit-learn's TfidfVectorizer (English stop-word removal, default tokenisation) and AgglomerativeClustering (cosine metric, average linkage). No pretrained model, external API, or paid resource was used, consistent with the project's zero-cost constraint. The full 20-document corpus (Section 5) was processed once per simulated time step from t = 3 documents up to t = 20 documents, in chronological order, giving 18 expanding-window snapshots.</w:t>
      </w:r>
    </w:p>
    <w:p>
      <w:pPr>
        <w:spacing w:after="160" w:line="288"/>
      </w:pPr>
      <w:r>
        <w:rPr>
          <w:sz w:val="22"/>
          <w:szCs w:val="22"/>
        </w:rPr>
        <w:t xml:space="preserve">Two outputs were logged per snapshot: (i) whether the volume baseline had already seen a literal-term paper, and (ii) the number of documents so far exceeding the 0.08 cosine-similarity threshold to the eventual target paper. The month at which each series first crosses its respective threshold was recorded as that method's detection point.</w:t>
      </w:r>
    </w:p>
    <w:p>
      <w:pPr>
        <w:pStyle w:val="Heading1"/>
        <w:pBdr>
          <w:bottom w:val="single" w:color="2E5EAA" w:sz="6" w:space="4"/>
        </w:pBdr>
        <w:spacing w:after="180" w:before="400"/>
      </w:pPr>
      <w:r>
        <w:rPr>
          <w:b/>
          <w:bCs/>
          <w:color w:val="1F2A44"/>
          <w:sz w:val="27"/>
          <w:szCs w:val="27"/>
        </w:rPr>
        <w:t xml:space="preserve">8. Results</w:t>
      </w:r>
    </w:p>
    <w:p>
      <w:pPr>
        <w:spacing w:after="160" w:line="288"/>
      </w:pPr>
      <w:r>
        <w:rPr>
          <w:sz w:val="22"/>
          <w:szCs w:val="22"/>
        </w:rPr>
        <w:t xml:space="preserve">Table 2 reports the two key detection points and the resulting lead time; Figure 1 plots both series over the full study period.</w:t>
      </w:r>
    </w:p>
    <w:p>
      <w:pPr>
        <w:spacing w:after="260" w:before="80"/>
        <w:jc w:val="center"/>
      </w:pPr>
      <w:r>
        <w:rPr>
          <w:i/>
          <w:iCs/>
          <w:color w:val="595959"/>
          <w:sz w:val="19"/>
          <w:szCs w:val="19"/>
        </w:rPr>
        <w:t xml:space="preserve">Table 2. Detection points and computed lead time (case study: “prompt engineering,” N = 20 papers).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880"/>
      </w:tblGrid>
      <w:tr>
        <w:trPr>
          <w:tblHeader/>
        </w:trPr>
        <w:tc>
          <w:tcPr>
            <w:tcW w:type="dxa" w:w="3400"/>
            <w:shd w:fill="1F2A44" w:color="auto" w:val="clear"/>
            <w:tcMar>
              <w:top w:type="dxa" w:w="90"/>
              <w:left w:type="dxa" w:w="110"/>
              <w:bottom w:type="dxa" w:w="90"/>
              <w:right w:type="dxa" w:w="110"/>
            </w:tcMar>
            <w:vAlign w:val="center"/>
          </w:tcPr>
          <w:p>
            <w:r>
              <w:rPr>
                <w:b/>
                <w:bCs/>
                <w:color w:val="FFFFFF"/>
                <w:sz w:val="19"/>
                <w:szCs w:val="19"/>
              </w:rPr>
              <w:t xml:space="preserve">Method</w:t>
            </w:r>
          </w:p>
        </w:tc>
        <w:tc>
          <w:tcPr>
            <w:tcW w:type="dxa" w:w="2800"/>
            <w:shd w:fill="1F2A44" w:color="auto" w:val="clear"/>
            <w:tcMar>
              <w:top w:type="dxa" w:w="90"/>
              <w:left w:type="dxa" w:w="110"/>
              <w:bottom w:type="dxa" w:w="90"/>
              <w:right w:type="dxa" w:w="110"/>
            </w:tcMar>
            <w:vAlign w:val="center"/>
          </w:tcPr>
          <w:p>
            <w:r>
              <w:rPr>
                <w:b/>
                <w:bCs/>
                <w:color w:val="FFFFFF"/>
                <w:sz w:val="19"/>
                <w:szCs w:val="19"/>
              </w:rPr>
              <w:t xml:space="preserve">First detection point</w:t>
            </w:r>
          </w:p>
        </w:tc>
        <w:tc>
          <w:tcPr>
            <w:tcW w:type="dxa" w:w="3880"/>
            <w:shd w:fill="1F2A44" w:color="auto" w:val="clear"/>
            <w:tcMar>
              <w:top w:type="dxa" w:w="90"/>
              <w:left w:type="dxa" w:w="110"/>
              <w:bottom w:type="dxa" w:w="90"/>
              <w:right w:type="dxa" w:w="110"/>
            </w:tcMar>
            <w:vAlign w:val="center"/>
          </w:tcPr>
          <w:p>
            <w:r>
              <w:rPr>
                <w:b/>
                <w:bCs/>
                <w:color w:val="FFFFFF"/>
                <w:sz w:val="19"/>
                <w:szCs w:val="19"/>
              </w:rPr>
              <w:t xml:space="preserve">Basis</w:t>
            </w:r>
          </w:p>
        </w:tc>
      </w:tr>
      <w:tr>
        <w:trPr>
          <w:cantSplit/>
        </w:trPr>
        <w:tc>
          <w:tcPr>
            <w:tcW w:type="dxa" w:w="3400"/>
            <w:tcMar>
              <w:top w:type="dxa" w:w="90"/>
              <w:left w:type="dxa" w:w="110"/>
              <w:bottom w:type="dxa" w:w="90"/>
              <w:right w:type="dxa" w:w="110"/>
            </w:tcMar>
            <w:vAlign w:val="center"/>
          </w:tcPr>
          <w:p>
            <w:r>
              <w:rPr>
                <w:sz w:val="18"/>
                <w:szCs w:val="18"/>
              </w:rPr>
              <w:t xml:space="preserve">Volume baseline (literal term)</w:t>
            </w:r>
          </w:p>
        </w:tc>
        <w:tc>
          <w:tcPr>
            <w:tcW w:type="dxa" w:w="2800"/>
            <w:tcMar>
              <w:top w:type="dxa" w:w="90"/>
              <w:left w:type="dxa" w:w="110"/>
              <w:bottom w:type="dxa" w:w="90"/>
              <w:right w:type="dxa" w:w="110"/>
            </w:tcMar>
            <w:vAlign w:val="center"/>
          </w:tcPr>
          <w:p>
            <w:r>
              <w:rPr>
                <w:sz w:val="18"/>
                <w:szCs w:val="18"/>
              </w:rPr>
              <w:t xml:space="preserve">February 2021</w:t>
            </w:r>
          </w:p>
        </w:tc>
        <w:tc>
          <w:tcPr>
            <w:tcW w:type="dxa" w:w="3880"/>
            <w:tcMar>
              <w:top w:type="dxa" w:w="90"/>
              <w:left w:type="dxa" w:w="110"/>
              <w:bottom w:type="dxa" w:w="90"/>
              <w:right w:type="dxa" w:w="110"/>
            </w:tcMar>
            <w:vAlign w:val="center"/>
          </w:tcPr>
          <w:p>
            <w:r>
              <w:rPr>
                <w:sz w:val="18"/>
                <w:szCs w:val="18"/>
              </w:rPr>
              <w:t xml:space="preserve">First title containing “prompt programming” / “prompt engineering”-type phrase</w:t>
            </w:r>
          </w:p>
        </w:tc>
      </w:tr>
      <w:tr>
        <w:trPr>
          <w:cantSplit/>
        </w:trPr>
        <w:tc>
          <w:tcPr>
            <w:tcW w:type="dxa" w:w="3400"/>
            <w:shd w:fill="EEF2F8" w:color="auto" w:val="clear"/>
            <w:tcMar>
              <w:top w:type="dxa" w:w="90"/>
              <w:left w:type="dxa" w:w="110"/>
              <w:bottom w:type="dxa" w:w="90"/>
              <w:right w:type="dxa" w:w="110"/>
            </w:tcMar>
            <w:vAlign w:val="center"/>
          </w:tcPr>
          <w:p>
            <w:r>
              <w:rPr>
                <w:sz w:val="18"/>
                <w:szCs w:val="18"/>
              </w:rPr>
              <w:t xml:space="preserve">Semantic detector (TF-IDF)</w:t>
            </w:r>
          </w:p>
        </w:tc>
        <w:tc>
          <w:tcPr>
            <w:tcW w:type="dxa" w:w="2800"/>
            <w:shd w:fill="EEF2F8" w:color="auto" w:val="clear"/>
            <w:tcMar>
              <w:top w:type="dxa" w:w="90"/>
              <w:left w:type="dxa" w:w="110"/>
              <w:bottom w:type="dxa" w:w="90"/>
              <w:right w:type="dxa" w:w="110"/>
            </w:tcMar>
            <w:vAlign w:val="center"/>
          </w:tcPr>
          <w:p>
            <w:r>
              <w:rPr>
                <w:sz w:val="18"/>
                <w:szCs w:val="18"/>
              </w:rPr>
              <w:t xml:space="preserve">September 2019</w:t>
            </w:r>
          </w:p>
        </w:tc>
        <w:tc>
          <w:tcPr>
            <w:tcW w:type="dxa" w:w="3880"/>
            <w:shd w:fill="EEF2F8" w:color="auto" w:val="clear"/>
            <w:tcMar>
              <w:top w:type="dxa" w:w="90"/>
              <w:left w:type="dxa" w:w="110"/>
              <w:bottom w:type="dxa" w:w="90"/>
              <w:right w:type="dxa" w:w="110"/>
            </w:tcMar>
            <w:vAlign w:val="center"/>
          </w:tcPr>
          <w:p>
            <w:r>
              <w:rPr>
                <w:sz w:val="18"/>
                <w:szCs w:val="18"/>
              </w:rPr>
              <w:t xml:space="preserve">Second title exceeding 0.08 cosine similarity to the eventual target paper</w:t>
            </w:r>
          </w:p>
        </w:tc>
      </w:tr>
      <w:tr>
        <w:trPr>
          <w:cantSplit/>
        </w:trPr>
        <w:tc>
          <w:tcPr>
            <w:tcW w:type="dxa" w:w="3400"/>
            <w:tcMar>
              <w:top w:type="dxa" w:w="90"/>
              <w:left w:type="dxa" w:w="110"/>
              <w:bottom w:type="dxa" w:w="90"/>
              <w:right w:type="dxa" w:w="110"/>
            </w:tcMar>
            <w:vAlign w:val="center"/>
          </w:tcPr>
          <w:p>
            <w:r>
              <w:rPr>
                <w:sz w:val="18"/>
                <w:szCs w:val="18"/>
              </w:rPr>
              <w:t xml:space="preserve">Lead time</w:t>
            </w:r>
          </w:p>
        </w:tc>
        <w:tc>
          <w:tcPr>
            <w:tcW w:type="dxa" w:w="2800"/>
            <w:tcMar>
              <w:top w:type="dxa" w:w="90"/>
              <w:left w:type="dxa" w:w="110"/>
              <w:bottom w:type="dxa" w:w="90"/>
              <w:right w:type="dxa" w:w="110"/>
            </w:tcMar>
            <w:vAlign w:val="center"/>
          </w:tcPr>
          <w:p>
            <w:r>
              <w:rPr>
                <w:sz w:val="18"/>
                <w:szCs w:val="18"/>
              </w:rPr>
              <w:t xml:space="preserve">17 months</w:t>
            </w:r>
          </w:p>
        </w:tc>
        <w:tc>
          <w:tcPr>
            <w:tcW w:type="dxa" w:w="3880"/>
            <w:tcMar>
              <w:top w:type="dxa" w:w="90"/>
              <w:left w:type="dxa" w:w="110"/>
              <w:bottom w:type="dxa" w:w="90"/>
              <w:right w:type="dxa" w:w="110"/>
            </w:tcMar>
            <w:vAlign w:val="center"/>
          </w:tcPr>
          <w:p>
            <w:r>
              <w:rPr>
                <w:sz w:val="18"/>
                <w:szCs w:val="18"/>
              </w:rPr>
              <w:t xml:space="preserve">Difference between the two detection points</w:t>
            </w:r>
          </w:p>
        </w:tc>
      </w:tr>
    </w:tbl>
    <w:p>
      <w:pPr>
        <w:spacing w:before="20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00350"/>
                    </a:xfrm>
                    <a:prstGeom prst="rect">
                      <a:avLst/>
                    </a:prstGeom>
                  </pic:spPr>
                </pic:pic>
              </a:graphicData>
            </a:graphic>
          </wp:inline>
        </w:drawing>
      </w:r>
    </w:p>
    <w:p>
      <w:pPr>
        <w:spacing w:after="260" w:before="80"/>
        <w:jc w:val="center"/>
      </w:pPr>
      <w:r>
        <w:rPr>
          <w:i/>
          <w:iCs/>
          <w:color w:val="595959"/>
          <w:sz w:val="19"/>
          <w:szCs w:val="19"/>
        </w:rPr>
        <w:t xml:space="preserve">Figure 1. Cumulative count of semantically related precursor papers (blue) versus cumulative count of literal-term papers (red) over the study period. The semantic detector's candidate cluster forms 17 months before the volume baseline's own trigger.</w:t>
      </w:r>
    </w:p>
    <w:p>
      <w:pPr>
        <w:spacing w:after="160" w:line="288"/>
      </w:pPr>
      <w:r>
        <w:rPr>
          <w:sz w:val="22"/>
          <w:szCs w:val="22"/>
        </w:rPr>
        <w:t xml:space="preserve">The result is consistent with the pattern described qualitatively in the survey literature reviewed in Section 2: multiple independent surveys note that techniques later grouped under “prompt engineering” were published well before the term itself existed. This experiment turns that qualitative historical observation into a measured, reproducible number (17 months) on a concrete, checkable dataset, computed under a protocol that never lets the detector see beyond the current simulated time step.</w:t>
      </w:r>
    </w:p>
    <w:p>
      <w:pPr>
        <w:spacing w:after="160" w:line="288"/>
      </w:pPr>
      <w:r>
        <w:rPr>
          <w:sz w:val="22"/>
          <w:szCs w:val="22"/>
        </w:rPr>
        <w:t xml:space="preserve">As a secondary check, the semantic detector's cluster membership was inspected manually at the September 2019 detection point. The two documents driving the flag were “Language Models as Knowledge Bases?” and “CTRL: A Conditional Transformer Language Model for Controllable Generation” — both genuinely about querying or conditioning a language model through its input text, which is the mechanism that “prompt engineering” later named. This is a small piece of evidence toward the explainability requirement in the original problem statement: the flagged cluster can be traced back to specific, inspectable documents and a stated reason (shared vocabulary around conditioning/querying a language model via its input).</w:t>
      </w:r>
    </w:p>
    <w:p>
      <w:pPr>
        <w:pStyle w:val="Heading1"/>
        <w:pBdr>
          <w:bottom w:val="single" w:color="2E5EAA" w:sz="6" w:space="4"/>
        </w:pBdr>
        <w:spacing w:after="180" w:before="400"/>
      </w:pPr>
      <w:r>
        <w:rPr>
          <w:b/>
          <w:bCs/>
          <w:color w:val="1F2A44"/>
          <w:sz w:val="27"/>
          <w:szCs w:val="27"/>
        </w:rPr>
        <w:t xml:space="preserve">9. Discussion</w:t>
      </w:r>
    </w:p>
    <w:p>
      <w:pPr>
        <w:pStyle w:val="Heading2"/>
        <w:spacing w:after="120" w:before="260"/>
      </w:pPr>
      <w:r>
        <w:rPr>
          <w:b/>
          <w:bCs/>
          <w:color w:val="2E5EAA"/>
          <w:sz w:val="22"/>
          <w:szCs w:val="22"/>
        </w:rPr>
        <w:t xml:space="preserve">9.1 What the results actually showed</w:t>
      </w:r>
    </w:p>
    <w:p>
      <w:pPr>
        <w:spacing w:after="160" w:line="288"/>
      </w:pPr>
      <w:r>
        <w:rPr>
          <w:sz w:val="22"/>
          <w:szCs w:val="22"/>
        </w:rPr>
        <w:t xml:space="preserve">The dominant design decision in this project was not the clustering algorithm itself but the choice of similarity threshold and representation. A TF-IDF representation on short titles is noisy: many unrelated pairs of titles share generic NLP vocabulary (“language,” “model,” “learning”) that inflates similarity scores if not handled carefully. English stop-word removal reduced but did not eliminate this effect, and the 0.08 threshold was set by inspecting the similarity distribution in this specific corpus rather than derived from a principled statistical test. This mirrors a caution already present in the literature reviewed in Section 2.4: simpler, term-based semantic representations can be competitive with more sophisticated ones, but they carry real sensitivity to preprocessing and threshold choices that must be reported honestly rather than tuned silently to produce a good-looking number.</w:t>
      </w:r>
    </w:p>
    <w:p>
      <w:pPr>
        <w:pStyle w:val="Heading2"/>
        <w:spacing w:after="120" w:before="260"/>
      </w:pPr>
      <w:r>
        <w:rPr>
          <w:b/>
          <w:bCs/>
          <w:color w:val="2E5EAA"/>
          <w:sz w:val="22"/>
          <w:szCs w:val="22"/>
        </w:rPr>
        <w:t xml:space="preserve">9.2 The most important lesson</w:t>
      </w:r>
    </w:p>
    <w:p>
      <w:pPr>
        <w:spacing w:after="160" w:line="288"/>
      </w:pPr>
      <w:r>
        <w:rPr>
          <w:sz w:val="22"/>
          <w:szCs w:val="22"/>
        </w:rPr>
        <w:t xml:space="preserve">The hardest part of this project was not building the clustering step — that took a small amount of code and a standard library. The hard part was constructing an evaluation that could not silently cheat by using hindsight. It would have been easy, for instance, to let the clustering algorithm see the entire corpus at once and then simply report that some cluster “contained” the precursor papers — but that is a description of history, not a test of early detection. Enforcing the expanding-window constraint, and defining the target cluster's identity using a post-hoc label that is kept separate from what the clustering step itself is allowed to see, took more careful design than the modelling step. This matches a broader observation from the literature reviewed in Section 2: across burst detection, first-story detection, and significance-based methods, the shared hard problem is not representing text, it is deciding, without looking ahead, whether something new is worth flagging.</w:t>
      </w:r>
    </w:p>
    <w:p>
      <w:pPr>
        <w:pStyle w:val="Heading2"/>
        <w:spacing w:after="120" w:before="260"/>
      </w:pPr>
      <w:r>
        <w:rPr>
          <w:b/>
          <w:bCs/>
          <w:color w:val="2E5EAA"/>
          <w:sz w:val="22"/>
          <w:szCs w:val="22"/>
        </w:rPr>
        <w:t xml:space="preserve">9.3 A second lesson: single case studies are a starting point, not a proof</w:t>
      </w:r>
    </w:p>
    <w:p>
      <w:pPr>
        <w:spacing w:after="160" w:line="288"/>
      </w:pPr>
      <w:r>
        <w:rPr>
          <w:sz w:val="22"/>
          <w:szCs w:val="22"/>
        </w:rPr>
        <w:t xml:space="preserve">Because this experiment covers one topic's documented history, a skeptical reading of the 17-month result is entirely warranted: it could be an artefact of exactly how this particular corpus was compiled (see Section 9.4 below), rather than evidence that the method would work on an arbitrary, live, unlabelled stream. The value of this experiment is narrower and more honest than “this method detects emerging topics”: it is “for at least one real, independently verifiable case, a simple, zero-cost, no-hindsight semantic method produced a measurably earlier signal than watching for the topic's own eventual name.” Establishing whether this generalises is exactly the next step, outlined in Section 10.2.</w:t>
      </w:r>
    </w:p>
    <w:p>
      <w:pPr>
        <w:pStyle w:val="Heading2"/>
        <w:spacing w:after="120" w:before="260"/>
      </w:pPr>
      <w:r>
        <w:rPr>
          <w:b/>
          <w:bCs/>
          <w:color w:val="2E5EAA"/>
          <w:sz w:val="22"/>
          <w:szCs w:val="22"/>
        </w:rPr>
        <w:t xml:space="preserve">9.4 Threats to validity</w:t>
      </w:r>
    </w:p>
    <w:p>
      <w:pPr>
        <w:pStyle w:val="ListParagraph"/>
        <w:numPr>
          <w:ilvl w:val="0"/>
          <w:numId w:val="2"/>
        </w:numPr>
        <w:spacing w:after="80" w:line="276"/>
      </w:pPr>
      <w:r>
        <w:rPr>
          <w:sz w:val="22"/>
          <w:szCs w:val="22"/>
        </w:rPr>
        <w:t xml:space="preserve">Hindsight in corpus construction: the 20 papers were found through literature search conducted with full knowledge that “prompt engineering” became a major topic. A live monitoring system would not have this advantage — it would have to notice the precursor cluster among a much larger, unlabelled, noisy stream containing many topics that never become notable. This experiment cannot rule out false positives on such noise, because no noise was included in the corpus.</w:t>
      </w:r>
    </w:p>
    <w:p>
      <w:pPr>
        <w:pStyle w:val="ListParagraph"/>
        <w:numPr>
          <w:ilvl w:val="0"/>
          <w:numId w:val="2"/>
        </w:numPr>
        <w:spacing w:after="80" w:line="276"/>
      </w:pPr>
      <w:r>
        <w:rPr>
          <w:sz w:val="22"/>
          <w:szCs w:val="22"/>
        </w:rPr>
        <w:t xml:space="preserve">Small N and single topic: 20 documents and one case study is not a statistically powered evaluation. The 17-month figure is a single measurement, not a distribution, and should not be read as an expected lead time for emergence detection in general.</w:t>
      </w:r>
    </w:p>
    <w:p>
      <w:pPr>
        <w:pStyle w:val="ListParagraph"/>
        <w:numPr>
          <w:ilvl w:val="0"/>
          <w:numId w:val="2"/>
        </w:numPr>
        <w:spacing w:after="80" w:line="276"/>
      </w:pPr>
      <w:r>
        <w:rPr>
          <w:sz w:val="22"/>
          <w:szCs w:val="22"/>
        </w:rPr>
        <w:t xml:space="preserve">Threshold sensitivity: the 0.08 similarity threshold was not derived from a held-out validation set (none existed at this scale); a different reasonable threshold could shift the detection month by more than the reported margin.</w:t>
      </w:r>
    </w:p>
    <w:p>
      <w:pPr>
        <w:pStyle w:val="ListParagraph"/>
        <w:numPr>
          <w:ilvl w:val="0"/>
          <w:numId w:val="2"/>
        </w:numPr>
        <w:spacing w:after="80" w:line="276"/>
      </w:pPr>
      <w:r>
        <w:rPr>
          <w:sz w:val="22"/>
          <w:szCs w:val="22"/>
        </w:rPr>
        <w:t xml:space="preserve">Titles rather than full abstracts: richer text would likely change both the volume baseline (more chances for the literal phrase to appear) and the semantic detector (more shared vocabulary to work with), in directions that are not obvious without running the comparison.</w:t>
      </w:r>
    </w:p>
    <w:p>
      <w:pPr>
        <w:pStyle w:val="ListParagraph"/>
        <w:numPr>
          <w:ilvl w:val="0"/>
          <w:numId w:val="2"/>
        </w:numPr>
        <w:spacing w:after="80" w:line="276"/>
      </w:pPr>
      <w:r>
        <w:rPr>
          <w:sz w:val="22"/>
          <w:szCs w:val="22"/>
        </w:rPr>
        <w:t xml:space="preserve">No comparison against a full neural-embedding baseline: the zero-cost constraint prevented downloading a pretrained sentence-embedding model in this environment; Section 2.4's finding that simpler methods sometimes outperform embeddings is suggestive but not a substitute for actually running the comparison on this corpus.</w:t>
      </w:r>
    </w:p>
    <w:p>
      <w:pPr>
        <w:pStyle w:val="Heading2"/>
        <w:spacing w:after="120" w:before="260"/>
      </w:pPr>
      <w:r>
        <w:rPr>
          <w:b/>
          <w:bCs/>
          <w:color w:val="2E5EAA"/>
          <w:sz w:val="22"/>
          <w:szCs w:val="22"/>
        </w:rPr>
        <w:t xml:space="preserve">9.5 What would increase confidence in this result</w:t>
      </w:r>
    </w:p>
    <w:p>
      <w:pPr>
        <w:spacing w:after="160" w:line="288"/>
      </w:pPr>
      <w:r>
        <w:rPr>
          <w:sz w:val="22"/>
          <w:szCs w:val="22"/>
        </w:rPr>
        <w:t xml:space="preserve">Three concrete changes would move this from a proof-of-concept to a trustworthy result: (1) running the identical protocol on a large, unlabelled stream that includes many non-emerging topics, so a false-positive rate can actually be measured rather than assumed to be low; (2) repeating the case-study methodology on at least two or three additional, independently chosen topics, so that a 17-month-scale lead time can be reported as a range rather than a single data point; and (3) replacing the manually inspected 0.08 threshold with one selected by a principled, pre-registered rule so that threshold choice cannot be (even unintentionally) tuned toward a favourable-looking result after seeing the data.</w:t>
      </w:r>
    </w:p>
    <w:p>
      <w:pPr>
        <w:pStyle w:val="Heading1"/>
        <w:pBdr>
          <w:bottom w:val="single" w:color="2E5EAA" w:sz="6" w:space="4"/>
        </w:pBdr>
        <w:spacing w:after="180" w:before="400"/>
      </w:pPr>
      <w:r>
        <w:rPr>
          <w:b/>
          <w:bCs/>
          <w:color w:val="1F2A44"/>
          <w:sz w:val="27"/>
          <w:szCs w:val="27"/>
        </w:rPr>
        <w:t xml:space="preserve">10. Conclusion and Future Work</w:t>
      </w:r>
    </w:p>
    <w:p>
      <w:pPr>
        <w:pStyle w:val="Heading2"/>
        <w:spacing w:after="120" w:before="260"/>
      </w:pPr>
      <w:r>
        <w:rPr>
          <w:b/>
          <w:bCs/>
          <w:color w:val="2E5EAA"/>
          <w:sz w:val="22"/>
          <w:szCs w:val="22"/>
        </w:rPr>
        <w:t xml:space="preserve">10.1 Conclusion</w:t>
      </w:r>
    </w:p>
    <w:p>
      <w:pPr>
        <w:spacing w:after="160" w:line="288"/>
      </w:pPr>
      <w:r>
        <w:rPr>
          <w:sz w:val="22"/>
          <w:szCs w:val="22"/>
        </w:rPr>
        <w:t xml:space="preserve">This paper investigated whether a zero-cost, hindsight-free semantic detector can identify an emerging NLP topic earlier than a conventional keyword-volume measure. Using a small, real, independently verifiable case study — the emergence of “prompt engineering” as a named subfield — a TF-IDF-based semantic detector identified a coherent precursor cluster 17 months before the literal term first appeared in the corpus, under an evaluation protocol that never let the detector see beyond the currently simulated time step. The result is small in scale and should not be overstated, but it is genuine: every document, date, and computed number in this paper is real and reproducible from the code and dataset described in Sections 5–8, rather than illustrative or invented figures.</w:t>
      </w:r>
    </w:p>
    <w:p>
      <w:pPr>
        <w:pStyle w:val="Heading2"/>
        <w:spacing w:after="120" w:before="260"/>
      </w:pPr>
      <w:r>
        <w:rPr>
          <w:b/>
          <w:bCs/>
          <w:color w:val="2E5EAA"/>
          <w:sz w:val="22"/>
          <w:szCs w:val="22"/>
        </w:rPr>
        <w:t xml:space="preserve">10.2 Future work</w:t>
      </w:r>
    </w:p>
    <w:p>
      <w:pPr>
        <w:pStyle w:val="ListParagraph"/>
        <w:numPr>
          <w:ilvl w:val="0"/>
          <w:numId w:val="2"/>
        </w:numPr>
        <w:spacing w:after="80" w:line="276"/>
      </w:pPr>
      <w:r>
        <w:rPr>
          <w:sz w:val="22"/>
          <w:szCs w:val="22"/>
        </w:rPr>
        <w:t xml:space="preserve">Scale the corpus from a hand-compiled 20-document case study to a genuine stream: process the full arXiv metadata snapshot or a Pushshift-style forum archive identified in the Stage 1 Research Brief, including large volumes of documents that never become notable, to properly test the false-positive rate the current experiment could not measure.</w:t>
      </w:r>
    </w:p>
    <w:p>
      <w:pPr>
        <w:pStyle w:val="ListParagraph"/>
        <w:numPr>
          <w:ilvl w:val="0"/>
          <w:numId w:val="2"/>
        </w:numPr>
        <w:spacing w:after="80" w:line="276"/>
      </w:pPr>
      <w:r>
        <w:rPr>
          <w:sz w:val="22"/>
          <w:szCs w:val="22"/>
        </w:rPr>
        <w:t xml:space="preserve">Compare TF-IDF against a locally-run neural embedding model once compute/network constraints allow, to test the Section 2.4 finding directly on this project's own data rather than relying on the literature.</w:t>
      </w:r>
    </w:p>
    <w:p>
      <w:pPr>
        <w:pStyle w:val="ListParagraph"/>
        <w:numPr>
          <w:ilvl w:val="0"/>
          <w:numId w:val="2"/>
        </w:numPr>
        <w:spacing w:after="80" w:line="276"/>
      </w:pPr>
      <w:r>
        <w:rPr>
          <w:sz w:val="22"/>
          <w:szCs w:val="22"/>
        </w:rPr>
        <w:t xml:space="preserve">Automate threshold selection (e.g. via a background-rate/statistical-significance test in the style of Section 2.3) instead of the manually inspected threshold used here.</w:t>
      </w:r>
    </w:p>
    <w:p>
      <w:pPr>
        <w:pStyle w:val="ListParagraph"/>
        <w:numPr>
          <w:ilvl w:val="0"/>
          <w:numId w:val="2"/>
        </w:numPr>
        <w:spacing w:after="80" w:line="276"/>
      </w:pPr>
      <w:r>
        <w:rPr>
          <w:sz w:val="22"/>
          <w:szCs w:val="22"/>
        </w:rPr>
        <w:t xml:space="preserve">Extend the case-study methodology to a second, independent topic (e.g. “retrieval-augmented generation” or “chain-of-thought reasoning”) to test whether the 17-month-scale lead time is topic-specific or a more general pattern.</w:t>
      </w:r>
    </w:p>
    <w:p>
      <w:pPr>
        <w:pStyle w:val="ListParagraph"/>
        <w:numPr>
          <w:ilvl w:val="0"/>
          <w:numId w:val="2"/>
        </w:numPr>
        <w:spacing w:after="80" w:line="276"/>
      </w:pPr>
      <w:r>
        <w:rPr>
          <w:sz w:val="22"/>
          <w:szCs w:val="22"/>
        </w:rPr>
        <w:t xml:space="preserve">Package the detector as the small, evidence-backed prototype envisioned in the Stage 1 brief, with a working interface that ingests a new time step and outputs ranked candidate clusters with their supporting documents.</w:t>
      </w:r>
    </w:p>
    <w:p>
      <w:pPr>
        <w:pStyle w:val="Heading1"/>
        <w:pBdr>
          <w:bottom w:val="single" w:color="2E5EAA" w:sz="6" w:space="4"/>
        </w:pBdr>
        <w:spacing w:after="180" w:before="400"/>
      </w:pPr>
      <w:r>
        <w:rPr>
          <w:b/>
          <w:bCs/>
          <w:color w:val="1F2A44"/>
          <w:sz w:val="27"/>
          <w:szCs w:val="27"/>
        </w:rPr>
        <w:t xml:space="preserve">11. Reproducibility and Engineering Outputs</w:t>
      </w:r>
    </w:p>
    <w:p>
      <w:pPr>
        <w:spacing w:after="160" w:line="288"/>
      </w:pPr>
      <w:r>
        <w:rPr>
          <w:sz w:val="22"/>
          <w:szCs w:val="22"/>
        </w:rPr>
        <w:t xml:space="preserve">In line with Learn Depth's Research &amp; Engineering Outputs checklist for this project, this section maps each required output to where it was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Literature review</w:t>
            </w:r>
          </w:p>
        </w:tc>
        <w:tc>
          <w:tcPr>
            <w:tcW w:type="dxa" w:w="7480"/>
            <w:tcMar>
              <w:top w:type="dxa" w:w="90"/>
              <w:left w:type="dxa" w:w="110"/>
              <w:bottom w:type="dxa" w:w="90"/>
              <w:right w:type="dxa" w:w="110"/>
            </w:tcMar>
            <w:vAlign w:val="center"/>
          </w:tcPr>
          <w:p>
            <w:r>
              <w:rPr>
                <w:sz w:val="19"/>
                <w:szCs w:val="19"/>
              </w:rPr>
              <w:t xml:space="preserve">Section 2 of this paper, and Section 6 of the Stage 1 Research Brief.</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Data &amp; dataset documentation</w:t>
            </w:r>
          </w:p>
        </w:tc>
        <w:tc>
          <w:tcPr>
            <w:tcW w:type="dxa" w:w="7480"/>
            <w:tcMar>
              <w:top w:type="dxa" w:w="90"/>
              <w:left w:type="dxa" w:w="110"/>
              <w:bottom w:type="dxa" w:w="90"/>
              <w:right w:type="dxa" w:w="110"/>
            </w:tcMar>
            <w:vAlign w:val="center"/>
          </w:tcPr>
          <w:p>
            <w:r>
              <w:rPr>
                <w:sz w:val="19"/>
                <w:szCs w:val="19"/>
              </w:rPr>
              <w:t xml:space="preserve">Section 5 of this paper (corpus composition, sourcing method, and disclosed limitations).</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Problem formulation</w:t>
            </w:r>
          </w:p>
        </w:tc>
        <w:tc>
          <w:tcPr>
            <w:tcW w:type="dxa" w:w="7480"/>
            <w:tcMar>
              <w:top w:type="dxa" w:w="90"/>
              <w:left w:type="dxa" w:w="110"/>
              <w:bottom w:type="dxa" w:w="90"/>
              <w:right w:type="dxa" w:w="110"/>
            </w:tcMar>
            <w:vAlign w:val="center"/>
          </w:tcPr>
          <w:p>
            <w:r>
              <w:rPr>
                <w:sz w:val="19"/>
                <w:szCs w:val="19"/>
              </w:rPr>
              <w:t xml:space="preserve">Section 3 of this paper, carried forward from the Stage 1 brief.</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Baseline implementation</w:t>
            </w:r>
          </w:p>
        </w:tc>
        <w:tc>
          <w:tcPr>
            <w:tcW w:type="dxa" w:w="7480"/>
            <w:tcMar>
              <w:top w:type="dxa" w:w="90"/>
              <w:left w:type="dxa" w:w="110"/>
              <w:bottom w:type="dxa" w:w="90"/>
              <w:right w:type="dxa" w:w="110"/>
            </w:tcMar>
            <w:vAlign w:val="center"/>
          </w:tcPr>
          <w:p>
            <w:r>
              <w:rPr>
                <w:sz w:val="19"/>
                <w:szCs w:val="19"/>
              </w:rPr>
              <w:t xml:space="preserve">Section 6.1 (literal-term volume baseline), implemented in Python (scan of document titles).</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Experiment log</w:t>
            </w:r>
          </w:p>
        </w:tc>
        <w:tc>
          <w:tcPr>
            <w:tcW w:type="dxa" w:w="7480"/>
            <w:tcMar>
              <w:top w:type="dxa" w:w="90"/>
              <w:left w:type="dxa" w:w="110"/>
              <w:bottom w:type="dxa" w:w="90"/>
              <w:right w:type="dxa" w:w="110"/>
            </w:tcMar>
            <w:vAlign w:val="center"/>
          </w:tcPr>
          <w:p>
            <w:r>
              <w:rPr>
                <w:sz w:val="19"/>
                <w:szCs w:val="19"/>
              </w:rPr>
              <w:t xml:space="preserve">Appendix B — the full 18-snapshot expanding-window measurement log produced by the actual experiment run.</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Evaluation &amp; error analysis</w:t>
            </w:r>
          </w:p>
        </w:tc>
        <w:tc>
          <w:tcPr>
            <w:tcW w:type="dxa" w:w="7480"/>
            <w:tcMar>
              <w:top w:type="dxa" w:w="90"/>
              <w:left w:type="dxa" w:w="110"/>
              <w:bottom w:type="dxa" w:w="90"/>
              <w:right w:type="dxa" w:w="110"/>
            </w:tcMar>
            <w:vAlign w:val="center"/>
          </w:tcPr>
          <w:p>
            <w:r>
              <w:rPr>
                <w:sz w:val="19"/>
                <w:szCs w:val="19"/>
              </w:rPr>
              <w:t xml:space="preserve">Section 8 (results), Section 9.1–9.4 (what the numbers mean and where they could be wrong).</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Working software demonstrator</w:t>
            </w:r>
          </w:p>
        </w:tc>
        <w:tc>
          <w:tcPr>
            <w:tcW w:type="dxa" w:w="7480"/>
            <w:tcMar>
              <w:top w:type="dxa" w:w="90"/>
              <w:left w:type="dxa" w:w="110"/>
              <w:bottom w:type="dxa" w:w="90"/>
              <w:right w:type="dxa" w:w="110"/>
            </w:tcMar>
            <w:vAlign w:val="center"/>
          </w:tcPr>
          <w:p>
            <w:r>
              <w:rPr>
                <w:sz w:val="19"/>
                <w:szCs w:val="19"/>
              </w:rPr>
              <w:t xml:space="preserve">A Python script implementing corpus loading, TF-IDF vectorisation, expanding-window agglomerative clustering, the volume baseline, and the lead-time computation reported in Section 8; runs end-to-end with no paid dependency.</w:t>
            </w:r>
          </w:p>
        </w:tc>
      </w:tr>
      <w:tr>
        <w:tc>
          <w:tcPr>
            <w:tcW w:type="dxa" w:w="2600"/>
            <w:shd w:fill="EEF2F8" w:color="auto" w:val="clear"/>
            <w:tcMar>
              <w:top w:type="dxa" w:w="90"/>
              <w:left w:type="dxa" w:w="110"/>
              <w:bottom w:type="dxa" w:w="90"/>
              <w:right w:type="dxa" w:w="110"/>
            </w:tcMar>
            <w:vAlign w:val="center"/>
          </w:tcPr>
          <w:p>
            <w:r>
              <w:rPr>
                <w:b/>
                <w:bCs/>
                <w:color w:val="1F2A44"/>
                <w:sz w:val="19"/>
                <w:szCs w:val="19"/>
              </w:rPr>
              <w:t xml:space="preserve">Final presentation + defense</w:t>
            </w:r>
          </w:p>
        </w:tc>
        <w:tc>
          <w:tcPr>
            <w:tcW w:type="dxa" w:w="7480"/>
            <w:tcMar>
              <w:top w:type="dxa" w:w="90"/>
              <w:left w:type="dxa" w:w="110"/>
              <w:bottom w:type="dxa" w:w="90"/>
              <w:right w:type="dxa" w:w="110"/>
            </w:tcMar>
            <w:vAlign w:val="center"/>
          </w:tcPr>
          <w:p>
            <w:r>
              <w:rPr>
                <w:sz w:val="19"/>
                <w:szCs w:val="19"/>
              </w:rPr>
              <w:t xml:space="preserve">To be prepared separately for the Stage review, drawing on the honestly-scoped result and limitations in Sections 8–9 of this paper.</w:t>
            </w:r>
          </w:p>
        </w:tc>
      </w:tr>
    </w:tbl>
    <w:p>
      <w:pPr>
        <w:spacing w:after="160" w:line="288"/>
      </w:pPr>
      <w:r>
        <w:rPr>
          <w:sz w:val="22"/>
          <w:szCs w:val="22"/>
        </w:rPr>
        <w:t xml:space="preserve">Every number reported in Section 8 and Appendix B was produced by actually executing this software on the corpus in Appendix A — none of the figures in this paper are illustrative placeholders.</w:t>
      </w:r>
    </w:p>
    <w:p>
      <w:pPr>
        <w:pStyle w:val="Heading1"/>
        <w:pBdr>
          <w:bottom w:val="single" w:color="2E5EAA" w:sz="6" w:space="4"/>
        </w:pBdr>
        <w:spacing w:after="180" w:before="400"/>
      </w:pPr>
      <w:r>
        <w:rPr>
          <w:b/>
          <w:bCs/>
          <w:color w:val="1F2A44"/>
          <w:sz w:val="27"/>
          <w:szCs w:val="27"/>
        </w:rPr>
        <w:t xml:space="preserve">Appendix A: Full Case-Study Corpus (N = 20)</w:t>
      </w:r>
    </w:p>
    <w:p>
      <w:pPr>
        <w:spacing w:after="260" w:before="80"/>
        <w:jc w:val="center"/>
      </w:pPr>
      <w:r>
        <w:rPr>
          <w:i/>
          <w:iCs/>
          <w:color w:val="595959"/>
          <w:sz w:val="19"/>
          <w:szCs w:val="19"/>
        </w:rPr>
        <w:t xml:space="preserve">All 20 papers used in the experiment, in chronological order, with their real publication dates and arXiv identifiers where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5680"/>
        <w:gridCol w:w="1800"/>
      </w:tblGrid>
      <w:tr>
        <w:trPr>
          <w:tblHeader/>
        </w:trPr>
        <w:tc>
          <w:tcPr>
            <w:tcW w:type="dxa" w:w="1300"/>
            <w:shd w:fill="1F2A44" w:color="auto" w:val="clear"/>
            <w:tcMar>
              <w:top w:type="dxa" w:w="90"/>
              <w:left w:type="dxa" w:w="110"/>
              <w:bottom w:type="dxa" w:w="90"/>
              <w:right w:type="dxa" w:w="110"/>
            </w:tcMar>
            <w:vAlign w:val="center"/>
          </w:tcPr>
          <w:p>
            <w:r>
              <w:rPr>
                <w:b/>
                <w:bCs/>
                <w:color w:val="FFFFFF"/>
                <w:sz w:val="19"/>
                <w:szCs w:val="19"/>
              </w:rPr>
              <w:t xml:space="preserve">Year-Month</w:t>
            </w:r>
          </w:p>
        </w:tc>
        <w:tc>
          <w:tcPr>
            <w:tcW w:type="dxa" w:w="1300"/>
            <w:shd w:fill="1F2A44" w:color="auto" w:val="clear"/>
            <w:tcMar>
              <w:top w:type="dxa" w:w="90"/>
              <w:left w:type="dxa" w:w="110"/>
              <w:bottom w:type="dxa" w:w="90"/>
              <w:right w:type="dxa" w:w="110"/>
            </w:tcMar>
            <w:vAlign w:val="center"/>
          </w:tcPr>
          <w:p>
            <w:r>
              <w:rPr>
                <w:b/>
                <w:bCs/>
                <w:color w:val="FFFFFF"/>
                <w:sz w:val="19"/>
                <w:szCs w:val="19"/>
              </w:rPr>
              <w:t xml:space="preserve">arXiv ID</w:t>
            </w:r>
          </w:p>
        </w:tc>
        <w:tc>
          <w:tcPr>
            <w:tcW w:type="dxa" w:w="5680"/>
            <w:shd w:fill="1F2A44" w:color="auto" w:val="clear"/>
            <w:tcMar>
              <w:top w:type="dxa" w:w="90"/>
              <w:left w:type="dxa" w:w="110"/>
              <w:bottom w:type="dxa" w:w="90"/>
              <w:right w:type="dxa" w:w="110"/>
            </w:tcMar>
            <w:vAlign w:val="center"/>
          </w:tcPr>
          <w:p>
            <w:r>
              <w:rPr>
                <w:b/>
                <w:bCs/>
                <w:color w:val="FFFFFF"/>
                <w:sz w:val="19"/>
                <w:szCs w:val="19"/>
              </w:rPr>
              <w:t xml:space="preserve">Title</w:t>
            </w:r>
          </w:p>
        </w:tc>
        <w:tc>
          <w:tcPr>
            <w:tcW w:type="dxa" w:w="1800"/>
            <w:shd w:fill="1F2A44" w:color="auto" w:val="clear"/>
            <w:tcMar>
              <w:top w:type="dxa" w:w="90"/>
              <w:left w:type="dxa" w:w="110"/>
              <w:bottom w:type="dxa" w:w="90"/>
              <w:right w:type="dxa" w:w="110"/>
            </w:tcMar>
            <w:vAlign w:val="center"/>
          </w:tcPr>
          <w:p>
            <w:r>
              <w:rPr>
                <w:b/>
                <w:bCs/>
                <w:color w:val="FFFFFF"/>
                <w:sz w:val="19"/>
                <w:szCs w:val="19"/>
              </w:rPr>
              <w:t xml:space="preserve">Literal-term hit?</w:t>
            </w:r>
          </w:p>
        </w:tc>
      </w:tr>
      <w:tr>
        <w:trPr>
          <w:cantSplit/>
        </w:trPr>
        <w:tc>
          <w:tcPr>
            <w:tcW w:type="dxa" w:w="1300"/>
            <w:tcMar>
              <w:top w:type="dxa" w:w="90"/>
              <w:left w:type="dxa" w:w="110"/>
              <w:bottom w:type="dxa" w:w="90"/>
              <w:right w:type="dxa" w:w="110"/>
            </w:tcMar>
            <w:vAlign w:val="center"/>
          </w:tcPr>
          <w:p>
            <w:r>
              <w:rPr>
                <w:sz w:val="18"/>
                <w:szCs w:val="18"/>
              </w:rPr>
              <w:t xml:space="preserve">2019-02</w:t>
            </w:r>
          </w:p>
        </w:tc>
        <w:tc>
          <w:tcPr>
            <w:tcW w:type="dxa" w:w="1300"/>
            <w:tcMar>
              <w:top w:type="dxa" w:w="90"/>
              <w:left w:type="dxa" w:w="110"/>
              <w:bottom w:type="dxa" w:w="90"/>
              <w:right w:type="dxa" w:w="110"/>
            </w:tcMar>
            <w:vAlign w:val="center"/>
          </w:tcPr>
          <w:p>
            <w:r>
              <w:rPr>
                <w:sz w:val="18"/>
                <w:szCs w:val="18"/>
              </w:rPr>
              <w:t xml:space="preserve">—</w:t>
            </w:r>
          </w:p>
        </w:tc>
        <w:tc>
          <w:tcPr>
            <w:tcW w:type="dxa" w:w="5680"/>
            <w:tcMar>
              <w:top w:type="dxa" w:w="90"/>
              <w:left w:type="dxa" w:w="110"/>
              <w:bottom w:type="dxa" w:w="90"/>
              <w:right w:type="dxa" w:w="110"/>
            </w:tcMar>
            <w:vAlign w:val="center"/>
          </w:tcPr>
          <w:p>
            <w:r>
              <w:rPr>
                <w:sz w:val="18"/>
                <w:szCs w:val="18"/>
              </w:rPr>
              <w:t xml:space="preserve">Language Models are Unsupervised Multitask Learners</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2019-08</w:t>
            </w:r>
          </w:p>
        </w:tc>
        <w:tc>
          <w:tcPr>
            <w:tcW w:type="dxa" w:w="1300"/>
            <w:shd w:fill="EEF2F8" w:color="auto" w:val="clear"/>
            <w:tcMar>
              <w:top w:type="dxa" w:w="90"/>
              <w:left w:type="dxa" w:w="110"/>
              <w:bottom w:type="dxa" w:w="90"/>
              <w:right w:type="dxa" w:w="110"/>
            </w:tcMar>
            <w:vAlign w:val="center"/>
          </w:tcPr>
          <w:p>
            <w:r>
              <w:rPr>
                <w:sz w:val="18"/>
                <w:szCs w:val="18"/>
              </w:rPr>
              <w:t xml:space="preserve">—</w:t>
            </w:r>
          </w:p>
        </w:tc>
        <w:tc>
          <w:tcPr>
            <w:tcW w:type="dxa" w:w="5680"/>
            <w:shd w:fill="EEF2F8" w:color="auto" w:val="clear"/>
            <w:tcMar>
              <w:top w:type="dxa" w:w="90"/>
              <w:left w:type="dxa" w:w="110"/>
              <w:bottom w:type="dxa" w:w="90"/>
              <w:right w:type="dxa" w:w="110"/>
            </w:tcMar>
            <w:vAlign w:val="center"/>
          </w:tcPr>
          <w:p>
            <w:r>
              <w:rPr>
                <w:sz w:val="18"/>
                <w:szCs w:val="18"/>
              </w:rPr>
              <w:t xml:space="preserve">Universal Adversarial Triggers for Attacking and Analyzing NLP</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2019-09</w:t>
            </w:r>
          </w:p>
        </w:tc>
        <w:tc>
          <w:tcPr>
            <w:tcW w:type="dxa" w:w="1300"/>
            <w:tcMar>
              <w:top w:type="dxa" w:w="90"/>
              <w:left w:type="dxa" w:w="110"/>
              <w:bottom w:type="dxa" w:w="90"/>
              <w:right w:type="dxa" w:w="110"/>
            </w:tcMar>
            <w:vAlign w:val="center"/>
          </w:tcPr>
          <w:p>
            <w:r>
              <w:rPr>
                <w:sz w:val="18"/>
                <w:szCs w:val="18"/>
              </w:rPr>
              <w:t xml:space="preserve">—</w:t>
            </w:r>
          </w:p>
        </w:tc>
        <w:tc>
          <w:tcPr>
            <w:tcW w:type="dxa" w:w="5680"/>
            <w:tcMar>
              <w:top w:type="dxa" w:w="90"/>
              <w:left w:type="dxa" w:w="110"/>
              <w:bottom w:type="dxa" w:w="90"/>
              <w:right w:type="dxa" w:w="110"/>
            </w:tcMar>
            <w:vAlign w:val="center"/>
          </w:tcPr>
          <w:p>
            <w:r>
              <w:rPr>
                <w:sz w:val="18"/>
                <w:szCs w:val="18"/>
              </w:rPr>
              <w:t xml:space="preserve">CTRL: A Conditional Transformer Language Model for Controllable Generation</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2019-09</w:t>
            </w:r>
          </w:p>
        </w:tc>
        <w:tc>
          <w:tcPr>
            <w:tcW w:type="dxa" w:w="1300"/>
            <w:shd w:fill="EEF2F8" w:color="auto" w:val="clear"/>
            <w:tcMar>
              <w:top w:type="dxa" w:w="90"/>
              <w:left w:type="dxa" w:w="110"/>
              <w:bottom w:type="dxa" w:w="90"/>
              <w:right w:type="dxa" w:w="110"/>
            </w:tcMar>
            <w:vAlign w:val="center"/>
          </w:tcPr>
          <w:p>
            <w:r>
              <w:rPr>
                <w:sz w:val="18"/>
                <w:szCs w:val="18"/>
              </w:rPr>
              <w:t xml:space="preserve">—</w:t>
            </w:r>
          </w:p>
        </w:tc>
        <w:tc>
          <w:tcPr>
            <w:tcW w:type="dxa" w:w="5680"/>
            <w:shd w:fill="EEF2F8" w:color="auto" w:val="clear"/>
            <w:tcMar>
              <w:top w:type="dxa" w:w="90"/>
              <w:left w:type="dxa" w:w="110"/>
              <w:bottom w:type="dxa" w:w="90"/>
              <w:right w:type="dxa" w:w="110"/>
            </w:tcMar>
            <w:vAlign w:val="center"/>
          </w:tcPr>
          <w:p>
            <w:r>
              <w:rPr>
                <w:sz w:val="18"/>
                <w:szCs w:val="18"/>
              </w:rPr>
              <w:t xml:space="preserve">Language Models as Knowledge Bases?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2020-01</w:t>
            </w:r>
          </w:p>
        </w:tc>
        <w:tc>
          <w:tcPr>
            <w:tcW w:type="dxa" w:w="1300"/>
            <w:tcMar>
              <w:top w:type="dxa" w:w="90"/>
              <w:left w:type="dxa" w:w="110"/>
              <w:bottom w:type="dxa" w:w="90"/>
              <w:right w:type="dxa" w:w="110"/>
            </w:tcMar>
            <w:vAlign w:val="center"/>
          </w:tcPr>
          <w:p>
            <w:r>
              <w:rPr>
                <w:sz w:val="18"/>
                <w:szCs w:val="18"/>
              </w:rPr>
              <w:t xml:space="preserve">2001.07676</w:t>
            </w:r>
          </w:p>
        </w:tc>
        <w:tc>
          <w:tcPr>
            <w:tcW w:type="dxa" w:w="5680"/>
            <w:tcMar>
              <w:top w:type="dxa" w:w="90"/>
              <w:left w:type="dxa" w:w="110"/>
              <w:bottom w:type="dxa" w:w="90"/>
              <w:right w:type="dxa" w:w="110"/>
            </w:tcMar>
            <w:vAlign w:val="center"/>
          </w:tcPr>
          <w:p>
            <w:r>
              <w:rPr>
                <w:sz w:val="18"/>
                <w:szCs w:val="18"/>
              </w:rPr>
              <w:t xml:space="preserve">Exploiting Cloze Questions for Few-Shot Text Classification and NLI</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2020-05</w:t>
            </w:r>
          </w:p>
        </w:tc>
        <w:tc>
          <w:tcPr>
            <w:tcW w:type="dxa" w:w="1300"/>
            <w:shd w:fill="EEF2F8" w:color="auto" w:val="clear"/>
            <w:tcMar>
              <w:top w:type="dxa" w:w="90"/>
              <w:left w:type="dxa" w:w="110"/>
              <w:bottom w:type="dxa" w:w="90"/>
              <w:right w:type="dxa" w:w="110"/>
            </w:tcMar>
            <w:vAlign w:val="center"/>
          </w:tcPr>
          <w:p>
            <w:r>
              <w:rPr>
                <w:sz w:val="18"/>
                <w:szCs w:val="18"/>
              </w:rPr>
              <w:t xml:space="preserve">—</w:t>
            </w:r>
          </w:p>
        </w:tc>
        <w:tc>
          <w:tcPr>
            <w:tcW w:type="dxa" w:w="5680"/>
            <w:shd w:fill="EEF2F8" w:color="auto" w:val="clear"/>
            <w:tcMar>
              <w:top w:type="dxa" w:w="90"/>
              <w:left w:type="dxa" w:w="110"/>
              <w:bottom w:type="dxa" w:w="90"/>
              <w:right w:type="dxa" w:w="110"/>
            </w:tcMar>
            <w:vAlign w:val="center"/>
          </w:tcPr>
          <w:p>
            <w:r>
              <w:rPr>
                <w:sz w:val="18"/>
                <w:szCs w:val="18"/>
              </w:rPr>
              <w:t xml:space="preserve">Language Models are Few-Shot Learners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2020-10</w:t>
            </w:r>
          </w:p>
        </w:tc>
        <w:tc>
          <w:tcPr>
            <w:tcW w:type="dxa" w:w="1300"/>
            <w:tcMar>
              <w:top w:type="dxa" w:w="90"/>
              <w:left w:type="dxa" w:w="110"/>
              <w:bottom w:type="dxa" w:w="90"/>
              <w:right w:type="dxa" w:w="110"/>
            </w:tcMar>
            <w:vAlign w:val="center"/>
          </w:tcPr>
          <w:p>
            <w:r>
              <w:rPr>
                <w:sz w:val="18"/>
                <w:szCs w:val="18"/>
              </w:rPr>
              <w:t xml:space="preserve">2010.15980</w:t>
            </w:r>
          </w:p>
        </w:tc>
        <w:tc>
          <w:tcPr>
            <w:tcW w:type="dxa" w:w="5680"/>
            <w:tcMar>
              <w:top w:type="dxa" w:w="90"/>
              <w:left w:type="dxa" w:w="110"/>
              <w:bottom w:type="dxa" w:w="90"/>
              <w:right w:type="dxa" w:w="110"/>
            </w:tcMar>
            <w:vAlign w:val="center"/>
          </w:tcPr>
          <w:p>
            <w:r>
              <w:rPr>
                <w:sz w:val="18"/>
                <w:szCs w:val="18"/>
              </w:rPr>
              <w:t xml:space="preserve">AutoPrompt: Eliciting Knowledge from LMs with Automatically Generated Prompts</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2020-12</w:t>
            </w:r>
          </w:p>
        </w:tc>
        <w:tc>
          <w:tcPr>
            <w:tcW w:type="dxa" w:w="1300"/>
            <w:shd w:fill="EEF2F8" w:color="auto" w:val="clear"/>
            <w:tcMar>
              <w:top w:type="dxa" w:w="90"/>
              <w:left w:type="dxa" w:w="110"/>
              <w:bottom w:type="dxa" w:w="90"/>
              <w:right w:type="dxa" w:w="110"/>
            </w:tcMar>
            <w:vAlign w:val="center"/>
          </w:tcPr>
          <w:p>
            <w:r>
              <w:rPr>
                <w:sz w:val="18"/>
                <w:szCs w:val="18"/>
              </w:rPr>
              <w:t xml:space="preserve">—</w:t>
            </w:r>
          </w:p>
        </w:tc>
        <w:tc>
          <w:tcPr>
            <w:tcW w:type="dxa" w:w="5680"/>
            <w:shd w:fill="EEF2F8" w:color="auto" w:val="clear"/>
            <w:tcMar>
              <w:top w:type="dxa" w:w="90"/>
              <w:left w:type="dxa" w:w="110"/>
              <w:bottom w:type="dxa" w:w="90"/>
              <w:right w:type="dxa" w:w="110"/>
            </w:tcMar>
            <w:vAlign w:val="center"/>
          </w:tcPr>
          <w:p>
            <w:r>
              <w:rPr>
                <w:sz w:val="18"/>
                <w:szCs w:val="18"/>
              </w:rPr>
              <w:t xml:space="preserve">Making Pre-trained Language Models Better Few-shot Learners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2021-01</w:t>
            </w:r>
          </w:p>
        </w:tc>
        <w:tc>
          <w:tcPr>
            <w:tcW w:type="dxa" w:w="1300"/>
            <w:tcMar>
              <w:top w:type="dxa" w:w="90"/>
              <w:left w:type="dxa" w:w="110"/>
              <w:bottom w:type="dxa" w:w="90"/>
              <w:right w:type="dxa" w:w="110"/>
            </w:tcMar>
            <w:vAlign w:val="center"/>
          </w:tcPr>
          <w:p>
            <w:r>
              <w:rPr>
                <w:sz w:val="18"/>
                <w:szCs w:val="18"/>
              </w:rPr>
              <w:t xml:space="preserve">—</w:t>
            </w:r>
          </w:p>
        </w:tc>
        <w:tc>
          <w:tcPr>
            <w:tcW w:type="dxa" w:w="5680"/>
            <w:tcMar>
              <w:top w:type="dxa" w:w="90"/>
              <w:left w:type="dxa" w:w="110"/>
              <w:bottom w:type="dxa" w:w="90"/>
              <w:right w:type="dxa" w:w="110"/>
            </w:tcMar>
            <w:vAlign w:val="center"/>
          </w:tcPr>
          <w:p>
            <w:r>
              <w:rPr>
                <w:sz w:val="18"/>
                <w:szCs w:val="18"/>
              </w:rPr>
              <w:t xml:space="preserve">Prefix-Tuning: Optimizing Continuous Prompts for Generation</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2021-02</w:t>
            </w:r>
          </w:p>
        </w:tc>
        <w:tc>
          <w:tcPr>
            <w:tcW w:type="dxa" w:w="1300"/>
            <w:shd w:fill="EEF2F8" w:color="auto" w:val="clear"/>
            <w:tcMar>
              <w:top w:type="dxa" w:w="90"/>
              <w:left w:type="dxa" w:w="110"/>
              <w:bottom w:type="dxa" w:w="90"/>
              <w:right w:type="dxa" w:w="110"/>
            </w:tcMar>
            <w:vAlign w:val="center"/>
          </w:tcPr>
          <w:p>
            <w:r>
              <w:rPr>
                <w:sz w:val="18"/>
                <w:szCs w:val="18"/>
              </w:rPr>
              <w:t xml:space="preserve">—</w:t>
            </w:r>
          </w:p>
        </w:tc>
        <w:tc>
          <w:tcPr>
            <w:tcW w:type="dxa" w:w="5680"/>
            <w:shd w:fill="EEF2F8" w:color="auto" w:val="clear"/>
            <w:tcMar>
              <w:top w:type="dxa" w:w="90"/>
              <w:left w:type="dxa" w:w="110"/>
              <w:bottom w:type="dxa" w:w="90"/>
              <w:right w:type="dxa" w:w="110"/>
            </w:tcMar>
            <w:vAlign w:val="center"/>
          </w:tcPr>
          <w:p>
            <w:r>
              <w:rPr>
                <w:sz w:val="18"/>
                <w:szCs w:val="18"/>
              </w:rPr>
              <w:t xml:space="preserve">Calibrate Before Use: Improving Few-shot Performance of Language Models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2021-02</w:t>
            </w:r>
          </w:p>
        </w:tc>
        <w:tc>
          <w:tcPr>
            <w:tcW w:type="dxa" w:w="1300"/>
            <w:tcMar>
              <w:top w:type="dxa" w:w="90"/>
              <w:left w:type="dxa" w:w="110"/>
              <w:bottom w:type="dxa" w:w="90"/>
              <w:right w:type="dxa" w:w="110"/>
            </w:tcMar>
            <w:vAlign w:val="center"/>
          </w:tcPr>
          <w:p>
            <w:r>
              <w:rPr>
                <w:sz w:val="18"/>
                <w:szCs w:val="18"/>
              </w:rPr>
              <w:t xml:space="preserve">—</w:t>
            </w:r>
          </w:p>
        </w:tc>
        <w:tc>
          <w:tcPr>
            <w:tcW w:type="dxa" w:w="5680"/>
            <w:tcMar>
              <w:top w:type="dxa" w:w="90"/>
              <w:left w:type="dxa" w:w="110"/>
              <w:bottom w:type="dxa" w:w="90"/>
              <w:right w:type="dxa" w:w="110"/>
            </w:tcMar>
            <w:vAlign w:val="center"/>
          </w:tcPr>
          <w:p>
            <w:r>
              <w:rPr>
                <w:sz w:val="18"/>
                <w:szCs w:val="18"/>
              </w:rPr>
              <w:t xml:space="preserve">Prompt Programming for Large Language Models: Beyond the Few-Shot Paradigm</w:t>
            </w:r>
          </w:p>
        </w:tc>
        <w:tc>
          <w:tcPr>
            <w:tcW w:type="dxa" w:w="1800"/>
            <w:tcMar>
              <w:top w:type="dxa" w:w="90"/>
              <w:left w:type="dxa" w:w="110"/>
              <w:bottom w:type="dxa" w:w="90"/>
              <w:right w:type="dxa" w:w="110"/>
            </w:tcMar>
            <w:vAlign w:val="center"/>
          </w:tcPr>
          <w:p>
            <w:r>
              <w:rPr>
                <w:sz w:val="18"/>
                <w:szCs w:val="18"/>
              </w:rPr>
              <w:t xml:space="preserve">Yes</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2021-03</w:t>
            </w:r>
          </w:p>
        </w:tc>
        <w:tc>
          <w:tcPr>
            <w:tcW w:type="dxa" w:w="1300"/>
            <w:shd w:fill="EEF2F8" w:color="auto" w:val="clear"/>
            <w:tcMar>
              <w:top w:type="dxa" w:w="90"/>
              <w:left w:type="dxa" w:w="110"/>
              <w:bottom w:type="dxa" w:w="90"/>
              <w:right w:type="dxa" w:w="110"/>
            </w:tcMar>
            <w:vAlign w:val="center"/>
          </w:tcPr>
          <w:p>
            <w:r>
              <w:rPr>
                <w:sz w:val="18"/>
                <w:szCs w:val="18"/>
              </w:rPr>
              <w:t xml:space="preserve">2103.10385</w:t>
            </w:r>
          </w:p>
        </w:tc>
        <w:tc>
          <w:tcPr>
            <w:tcW w:type="dxa" w:w="5680"/>
            <w:shd w:fill="EEF2F8" w:color="auto" w:val="clear"/>
            <w:tcMar>
              <w:top w:type="dxa" w:w="90"/>
              <w:left w:type="dxa" w:w="110"/>
              <w:bottom w:type="dxa" w:w="90"/>
              <w:right w:type="dxa" w:w="110"/>
            </w:tcMar>
            <w:vAlign w:val="center"/>
          </w:tcPr>
          <w:p>
            <w:r>
              <w:rPr>
                <w:sz w:val="18"/>
                <w:szCs w:val="18"/>
              </w:rPr>
              <w:t xml:space="preserve">GPT Understands, Too</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2021-04</w:t>
            </w:r>
          </w:p>
        </w:tc>
        <w:tc>
          <w:tcPr>
            <w:tcW w:type="dxa" w:w="1300"/>
            <w:tcMar>
              <w:top w:type="dxa" w:w="90"/>
              <w:left w:type="dxa" w:w="110"/>
              <w:bottom w:type="dxa" w:w="90"/>
              <w:right w:type="dxa" w:w="110"/>
            </w:tcMar>
            <w:vAlign w:val="center"/>
          </w:tcPr>
          <w:p>
            <w:r>
              <w:rPr>
                <w:sz w:val="18"/>
                <w:szCs w:val="18"/>
              </w:rPr>
              <w:t xml:space="preserve">2104.08691</w:t>
            </w:r>
          </w:p>
        </w:tc>
        <w:tc>
          <w:tcPr>
            <w:tcW w:type="dxa" w:w="5680"/>
            <w:tcMar>
              <w:top w:type="dxa" w:w="90"/>
              <w:left w:type="dxa" w:w="110"/>
              <w:bottom w:type="dxa" w:w="90"/>
              <w:right w:type="dxa" w:w="110"/>
            </w:tcMar>
            <w:vAlign w:val="center"/>
          </w:tcPr>
          <w:p>
            <w:r>
              <w:rPr>
                <w:sz w:val="18"/>
                <w:szCs w:val="18"/>
              </w:rPr>
              <w:t xml:space="preserve">The Power of Scale for Parameter-Efficient Prompt Tuning</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2021-07</w:t>
            </w:r>
          </w:p>
        </w:tc>
        <w:tc>
          <w:tcPr>
            <w:tcW w:type="dxa" w:w="1300"/>
            <w:shd w:fill="EEF2F8" w:color="auto" w:val="clear"/>
            <w:tcMar>
              <w:top w:type="dxa" w:w="90"/>
              <w:left w:type="dxa" w:w="110"/>
              <w:bottom w:type="dxa" w:w="90"/>
              <w:right w:type="dxa" w:w="110"/>
            </w:tcMar>
            <w:vAlign w:val="center"/>
          </w:tcPr>
          <w:p>
            <w:r>
              <w:rPr>
                <w:sz w:val="18"/>
                <w:szCs w:val="18"/>
              </w:rPr>
              <w:t xml:space="preserve">2107.13586</w:t>
            </w:r>
          </w:p>
        </w:tc>
        <w:tc>
          <w:tcPr>
            <w:tcW w:type="dxa" w:w="5680"/>
            <w:shd w:fill="EEF2F8" w:color="auto" w:val="clear"/>
            <w:tcMar>
              <w:top w:type="dxa" w:w="90"/>
              <w:left w:type="dxa" w:w="110"/>
              <w:bottom w:type="dxa" w:w="90"/>
              <w:right w:type="dxa" w:w="110"/>
            </w:tcMar>
            <w:vAlign w:val="center"/>
          </w:tcPr>
          <w:p>
            <w:r>
              <w:rPr>
                <w:sz w:val="18"/>
                <w:szCs w:val="18"/>
              </w:rPr>
              <w:t xml:space="preserve">Pre-train, Prompt, and Predict: A Systematic Survey of Prompting Methods in NLP</w:t>
            </w:r>
          </w:p>
        </w:tc>
        <w:tc>
          <w:tcPr>
            <w:tcW w:type="dxa" w:w="1800"/>
            <w:shd w:fill="EEF2F8" w:color="auto" w:val="clear"/>
            <w:tcMar>
              <w:top w:type="dxa" w:w="90"/>
              <w:left w:type="dxa" w:w="110"/>
              <w:bottom w:type="dxa" w:w="90"/>
              <w:right w:type="dxa" w:w="110"/>
            </w:tcMar>
            <w:vAlign w:val="center"/>
          </w:tcPr>
          <w:p>
            <w:r>
              <w:rPr>
                <w:sz w:val="18"/>
                <w:szCs w:val="18"/>
              </w:rPr>
              <w:t xml:space="preserve">Yes</w:t>
            </w:r>
          </w:p>
        </w:tc>
      </w:tr>
      <w:tr>
        <w:trPr>
          <w:cantSplit/>
        </w:trPr>
        <w:tc>
          <w:tcPr>
            <w:tcW w:type="dxa" w:w="1300"/>
            <w:tcMar>
              <w:top w:type="dxa" w:w="90"/>
              <w:left w:type="dxa" w:w="110"/>
              <w:bottom w:type="dxa" w:w="90"/>
              <w:right w:type="dxa" w:w="110"/>
            </w:tcMar>
            <w:vAlign w:val="center"/>
          </w:tcPr>
          <w:p>
            <w:r>
              <w:rPr>
                <w:sz w:val="18"/>
                <w:szCs w:val="18"/>
              </w:rPr>
              <w:t xml:space="preserve">2022-01</w:t>
            </w:r>
          </w:p>
        </w:tc>
        <w:tc>
          <w:tcPr>
            <w:tcW w:type="dxa" w:w="1300"/>
            <w:tcMar>
              <w:top w:type="dxa" w:w="90"/>
              <w:left w:type="dxa" w:w="110"/>
              <w:bottom w:type="dxa" w:w="90"/>
              <w:right w:type="dxa" w:w="110"/>
            </w:tcMar>
            <w:vAlign w:val="center"/>
          </w:tcPr>
          <w:p>
            <w:r>
              <w:rPr>
                <w:sz w:val="18"/>
                <w:szCs w:val="18"/>
              </w:rPr>
              <w:t xml:space="preserve">—</w:t>
            </w:r>
          </w:p>
        </w:tc>
        <w:tc>
          <w:tcPr>
            <w:tcW w:type="dxa" w:w="5680"/>
            <w:tcMar>
              <w:top w:type="dxa" w:w="90"/>
              <w:left w:type="dxa" w:w="110"/>
              <w:bottom w:type="dxa" w:w="90"/>
              <w:right w:type="dxa" w:w="110"/>
            </w:tcMar>
            <w:vAlign w:val="center"/>
          </w:tcPr>
          <w:p>
            <w:r>
              <w:rPr>
                <w:sz w:val="18"/>
                <w:szCs w:val="18"/>
              </w:rPr>
              <w:t xml:space="preserve">Chain-of-Thought Prompting Elicits Reasoning in Large Language Models</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2022-05</w:t>
            </w:r>
          </w:p>
        </w:tc>
        <w:tc>
          <w:tcPr>
            <w:tcW w:type="dxa" w:w="1300"/>
            <w:shd w:fill="EEF2F8" w:color="auto" w:val="clear"/>
            <w:tcMar>
              <w:top w:type="dxa" w:w="90"/>
              <w:left w:type="dxa" w:w="110"/>
              <w:bottom w:type="dxa" w:w="90"/>
              <w:right w:type="dxa" w:w="110"/>
            </w:tcMar>
            <w:vAlign w:val="center"/>
          </w:tcPr>
          <w:p>
            <w:r>
              <w:rPr>
                <w:sz w:val="18"/>
                <w:szCs w:val="18"/>
              </w:rPr>
              <w:t xml:space="preserve">—</w:t>
            </w:r>
          </w:p>
        </w:tc>
        <w:tc>
          <w:tcPr>
            <w:tcW w:type="dxa" w:w="5680"/>
            <w:shd w:fill="EEF2F8" w:color="auto" w:val="clear"/>
            <w:tcMar>
              <w:top w:type="dxa" w:w="90"/>
              <w:left w:type="dxa" w:w="110"/>
              <w:bottom w:type="dxa" w:w="90"/>
              <w:right w:type="dxa" w:w="110"/>
            </w:tcMar>
            <w:vAlign w:val="center"/>
          </w:tcPr>
          <w:p>
            <w:r>
              <w:rPr>
                <w:sz w:val="18"/>
                <w:szCs w:val="18"/>
              </w:rPr>
              <w:t xml:space="preserve">Large Language Models are Zero-Shot Reasoners</w:t>
            </w:r>
          </w:p>
        </w:tc>
        <w:tc>
          <w:tcPr>
            <w:tcW w:type="dxa" w:w="1800"/>
            <w:shd w:fill="EEF2F8" w:color="auto" w:val="clear"/>
            <w:tcMar>
              <w:top w:type="dxa" w:w="90"/>
              <w:left w:type="dxa" w:w="110"/>
              <w:bottom w:type="dxa" w:w="90"/>
              <w:right w:type="dxa" w:w="110"/>
            </w:tcMar>
            <w:vAlign w:val="center"/>
          </w:tcPr>
          <w:p>
            <w:r>
              <w:rPr>
                <w:sz w:val="18"/>
                <w:szCs w:val="18"/>
              </w:rPr>
              <w:t xml:space="preserve">No</w:t>
            </w:r>
          </w:p>
        </w:tc>
      </w:tr>
      <w:tr>
        <w:trPr>
          <w:cantSplit/>
        </w:trPr>
        <w:tc>
          <w:tcPr>
            <w:tcW w:type="dxa" w:w="1300"/>
            <w:tcMar>
              <w:top w:type="dxa" w:w="90"/>
              <w:left w:type="dxa" w:w="110"/>
              <w:bottom w:type="dxa" w:w="90"/>
              <w:right w:type="dxa" w:w="110"/>
            </w:tcMar>
            <w:vAlign w:val="center"/>
          </w:tcPr>
          <w:p>
            <w:r>
              <w:rPr>
                <w:sz w:val="18"/>
                <w:szCs w:val="18"/>
              </w:rPr>
              <w:t xml:space="preserve">2022-10</w:t>
            </w:r>
          </w:p>
        </w:tc>
        <w:tc>
          <w:tcPr>
            <w:tcW w:type="dxa" w:w="1300"/>
            <w:tcMar>
              <w:top w:type="dxa" w:w="90"/>
              <w:left w:type="dxa" w:w="110"/>
              <w:bottom w:type="dxa" w:w="90"/>
              <w:right w:type="dxa" w:w="110"/>
            </w:tcMar>
            <w:vAlign w:val="center"/>
          </w:tcPr>
          <w:p>
            <w:r>
              <w:rPr>
                <w:sz w:val="18"/>
                <w:szCs w:val="18"/>
              </w:rPr>
              <w:t xml:space="preserve">—</w:t>
            </w:r>
          </w:p>
        </w:tc>
        <w:tc>
          <w:tcPr>
            <w:tcW w:type="dxa" w:w="5680"/>
            <w:tcMar>
              <w:top w:type="dxa" w:w="90"/>
              <w:left w:type="dxa" w:w="110"/>
              <w:bottom w:type="dxa" w:w="90"/>
              <w:right w:type="dxa" w:w="110"/>
            </w:tcMar>
            <w:vAlign w:val="center"/>
          </w:tcPr>
          <w:p>
            <w:r>
              <w:rPr>
                <w:sz w:val="18"/>
                <w:szCs w:val="18"/>
              </w:rPr>
              <w:t xml:space="preserve">AI Chains: Transparent and Controllable Human-AI Interaction by Chaining LLM Prompts</w:t>
            </w:r>
          </w:p>
        </w:tc>
        <w:tc>
          <w:tcPr>
            <w:tcW w:type="dxa" w:w="1800"/>
            <w:tcMar>
              <w:top w:type="dxa" w:w="90"/>
              <w:left w:type="dxa" w:w="110"/>
              <w:bottom w:type="dxa" w:w="90"/>
              <w:right w:type="dxa" w:w="110"/>
            </w:tcMar>
            <w:vAlign w:val="center"/>
          </w:tcPr>
          <w:p>
            <w:r>
              <w:rPr>
                <w:sz w:val="18"/>
                <w:szCs w:val="18"/>
              </w:rPr>
              <w:t xml:space="preserve">No</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2023-10</w:t>
            </w:r>
          </w:p>
        </w:tc>
        <w:tc>
          <w:tcPr>
            <w:tcW w:type="dxa" w:w="1300"/>
            <w:shd w:fill="EEF2F8" w:color="auto" w:val="clear"/>
            <w:tcMar>
              <w:top w:type="dxa" w:w="90"/>
              <w:left w:type="dxa" w:w="110"/>
              <w:bottom w:type="dxa" w:w="90"/>
              <w:right w:type="dxa" w:w="110"/>
            </w:tcMar>
            <w:vAlign w:val="center"/>
          </w:tcPr>
          <w:p>
            <w:r>
              <w:rPr>
                <w:sz w:val="18"/>
                <w:szCs w:val="18"/>
              </w:rPr>
              <w:t xml:space="preserve">2310.14735</w:t>
            </w:r>
          </w:p>
        </w:tc>
        <w:tc>
          <w:tcPr>
            <w:tcW w:type="dxa" w:w="5680"/>
            <w:shd w:fill="EEF2F8" w:color="auto" w:val="clear"/>
            <w:tcMar>
              <w:top w:type="dxa" w:w="90"/>
              <w:left w:type="dxa" w:w="110"/>
              <w:bottom w:type="dxa" w:w="90"/>
              <w:right w:type="dxa" w:w="110"/>
            </w:tcMar>
            <w:vAlign w:val="center"/>
          </w:tcPr>
          <w:p>
            <w:r>
              <w:rPr>
                <w:sz w:val="18"/>
                <w:szCs w:val="18"/>
              </w:rPr>
              <w:t xml:space="preserve">Unleashing the Potential of Prompt Engineering for Large Language Models</w:t>
            </w:r>
          </w:p>
        </w:tc>
        <w:tc>
          <w:tcPr>
            <w:tcW w:type="dxa" w:w="1800"/>
            <w:shd w:fill="EEF2F8" w:color="auto" w:val="clear"/>
            <w:tcMar>
              <w:top w:type="dxa" w:w="90"/>
              <w:left w:type="dxa" w:w="110"/>
              <w:bottom w:type="dxa" w:w="90"/>
              <w:right w:type="dxa" w:w="110"/>
            </w:tcMar>
            <w:vAlign w:val="center"/>
          </w:tcPr>
          <w:p>
            <w:r>
              <w:rPr>
                <w:sz w:val="18"/>
                <w:szCs w:val="18"/>
              </w:rPr>
              <w:t xml:space="preserve">Yes</w:t>
            </w:r>
          </w:p>
        </w:tc>
      </w:tr>
      <w:tr>
        <w:trPr>
          <w:cantSplit/>
        </w:trPr>
        <w:tc>
          <w:tcPr>
            <w:tcW w:type="dxa" w:w="1300"/>
            <w:tcMar>
              <w:top w:type="dxa" w:w="90"/>
              <w:left w:type="dxa" w:w="110"/>
              <w:bottom w:type="dxa" w:w="90"/>
              <w:right w:type="dxa" w:w="110"/>
            </w:tcMar>
            <w:vAlign w:val="center"/>
          </w:tcPr>
          <w:p>
            <w:r>
              <w:rPr>
                <w:sz w:val="18"/>
                <w:szCs w:val="18"/>
              </w:rPr>
              <w:t xml:space="preserve">2024-02</w:t>
            </w:r>
          </w:p>
        </w:tc>
        <w:tc>
          <w:tcPr>
            <w:tcW w:type="dxa" w:w="1300"/>
            <w:tcMar>
              <w:top w:type="dxa" w:w="90"/>
              <w:left w:type="dxa" w:w="110"/>
              <w:bottom w:type="dxa" w:w="90"/>
              <w:right w:type="dxa" w:w="110"/>
            </w:tcMar>
            <w:vAlign w:val="center"/>
          </w:tcPr>
          <w:p>
            <w:r>
              <w:rPr>
                <w:sz w:val="18"/>
                <w:szCs w:val="18"/>
              </w:rPr>
              <w:t xml:space="preserve">2402.07927</w:t>
            </w:r>
          </w:p>
        </w:tc>
        <w:tc>
          <w:tcPr>
            <w:tcW w:type="dxa" w:w="5680"/>
            <w:tcMar>
              <w:top w:type="dxa" w:w="90"/>
              <w:left w:type="dxa" w:w="110"/>
              <w:bottom w:type="dxa" w:w="90"/>
              <w:right w:type="dxa" w:w="110"/>
            </w:tcMar>
            <w:vAlign w:val="center"/>
          </w:tcPr>
          <w:p>
            <w:r>
              <w:rPr>
                <w:sz w:val="18"/>
                <w:szCs w:val="18"/>
              </w:rPr>
              <w:t xml:space="preserve">A Systematic Survey of Prompt Engineering in Large Language Models</w:t>
            </w:r>
          </w:p>
        </w:tc>
        <w:tc>
          <w:tcPr>
            <w:tcW w:type="dxa" w:w="1800"/>
            <w:tcMar>
              <w:top w:type="dxa" w:w="90"/>
              <w:left w:type="dxa" w:w="110"/>
              <w:bottom w:type="dxa" w:w="90"/>
              <w:right w:type="dxa" w:w="110"/>
            </w:tcMar>
            <w:vAlign w:val="center"/>
          </w:tcPr>
          <w:p>
            <w:r>
              <w:rPr>
                <w:sz w:val="18"/>
                <w:szCs w:val="18"/>
              </w:rPr>
              <w:t xml:space="preserve">Yes</w:t>
            </w:r>
          </w:p>
        </w:tc>
      </w:tr>
      <w:tr>
        <w:trPr>
          <w:cantSplit/>
        </w:trPr>
        <w:tc>
          <w:tcPr>
            <w:tcW w:type="dxa" w:w="1300"/>
            <w:shd w:fill="EEF2F8" w:color="auto" w:val="clear"/>
            <w:tcMar>
              <w:top w:type="dxa" w:w="90"/>
              <w:left w:type="dxa" w:w="110"/>
              <w:bottom w:type="dxa" w:w="90"/>
              <w:right w:type="dxa" w:w="110"/>
            </w:tcMar>
            <w:vAlign w:val="center"/>
          </w:tcPr>
          <w:p>
            <w:r>
              <w:rPr>
                <w:sz w:val="18"/>
                <w:szCs w:val="18"/>
              </w:rPr>
              <w:t xml:space="preserve">2024-06</w:t>
            </w:r>
          </w:p>
        </w:tc>
        <w:tc>
          <w:tcPr>
            <w:tcW w:type="dxa" w:w="1300"/>
            <w:shd w:fill="EEF2F8" w:color="auto" w:val="clear"/>
            <w:tcMar>
              <w:top w:type="dxa" w:w="90"/>
              <w:left w:type="dxa" w:w="110"/>
              <w:bottom w:type="dxa" w:w="90"/>
              <w:right w:type="dxa" w:w="110"/>
            </w:tcMar>
            <w:vAlign w:val="center"/>
          </w:tcPr>
          <w:p>
            <w:r>
              <w:rPr>
                <w:sz w:val="18"/>
                <w:szCs w:val="18"/>
              </w:rPr>
              <w:t xml:space="preserve">2406.06608</w:t>
            </w:r>
          </w:p>
        </w:tc>
        <w:tc>
          <w:tcPr>
            <w:tcW w:type="dxa" w:w="5680"/>
            <w:shd w:fill="EEF2F8" w:color="auto" w:val="clear"/>
            <w:tcMar>
              <w:top w:type="dxa" w:w="90"/>
              <w:left w:type="dxa" w:w="110"/>
              <w:bottom w:type="dxa" w:w="90"/>
              <w:right w:type="dxa" w:w="110"/>
            </w:tcMar>
            <w:vAlign w:val="center"/>
          </w:tcPr>
          <w:p>
            <w:r>
              <w:rPr>
                <w:sz w:val="18"/>
                <w:szCs w:val="18"/>
              </w:rPr>
              <w:t xml:space="preserve">The Prompt Report: A Systematic Survey of Prompt Engineering Techniques</w:t>
            </w:r>
          </w:p>
        </w:tc>
        <w:tc>
          <w:tcPr>
            <w:tcW w:type="dxa" w:w="1800"/>
            <w:shd w:fill="EEF2F8" w:color="auto" w:val="clear"/>
            <w:tcMar>
              <w:top w:type="dxa" w:w="90"/>
              <w:left w:type="dxa" w:w="110"/>
              <w:bottom w:type="dxa" w:w="90"/>
              <w:right w:type="dxa" w:w="110"/>
            </w:tcMar>
            <w:vAlign w:val="center"/>
          </w:tcPr>
          <w:p>
            <w:r>
              <w:rPr>
                <w:sz w:val="18"/>
                <w:szCs w:val="18"/>
              </w:rPr>
              <w:t xml:space="preserve">Yes</w:t>
            </w:r>
          </w:p>
        </w:tc>
      </w:tr>
    </w:tbl>
    <w:p>
      <w:r>
        <w:br w:type="page"/>
      </w:r>
    </w:p>
    <w:p>
      <w:pPr>
        <w:pStyle w:val="Heading1"/>
        <w:pBdr>
          <w:bottom w:val="single" w:color="2E5EAA" w:sz="6" w:space="4"/>
        </w:pBdr>
        <w:spacing w:after="180" w:before="400"/>
      </w:pPr>
      <w:r>
        <w:rPr>
          <w:b/>
          <w:bCs/>
          <w:color w:val="1F2A44"/>
          <w:sz w:val="27"/>
          <w:szCs w:val="27"/>
        </w:rPr>
        <w:t xml:space="preserve">Appendix B: Full Expanding-Window Measurement Log</w:t>
      </w:r>
    </w:p>
    <w:p>
      <w:pPr>
        <w:spacing w:after="260" w:before="80"/>
        <w:jc w:val="center"/>
      </w:pPr>
      <w:r>
        <w:rPr>
          <w:i/>
          <w:iCs/>
          <w:color w:val="595959"/>
          <w:sz w:val="19"/>
          <w:szCs w:val="19"/>
        </w:rPr>
        <w:t xml:space="preserve">Every snapshot from the actual experiment run (t = number of documents visible so far; final column = count of documents already exceeding the 0.08 similarity threshold to the eventual target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280"/>
      </w:tblGrid>
      <w:tr>
        <w:trPr>
          <w:tblHeader/>
        </w:trPr>
        <w:tc>
          <w:tcPr>
            <w:tcW w:type="dxa" w:w="1400"/>
            <w:shd w:fill="1F2A44" w:color="auto" w:val="clear"/>
            <w:tcMar>
              <w:top w:type="dxa" w:w="90"/>
              <w:left w:type="dxa" w:w="110"/>
              <w:bottom w:type="dxa" w:w="90"/>
              <w:right w:type="dxa" w:w="110"/>
            </w:tcMar>
            <w:vAlign w:val="center"/>
          </w:tcPr>
          <w:p>
            <w:r>
              <w:rPr>
                <w:b/>
                <w:bCs/>
                <w:color w:val="FFFFFF"/>
                <w:sz w:val="19"/>
                <w:szCs w:val="19"/>
              </w:rPr>
              <w:t xml:space="preserve">t</w:t>
            </w:r>
          </w:p>
        </w:tc>
        <w:tc>
          <w:tcPr>
            <w:tcW w:type="dxa" w:w="2400"/>
            <w:shd w:fill="1F2A44" w:color="auto" w:val="clear"/>
            <w:tcMar>
              <w:top w:type="dxa" w:w="90"/>
              <w:left w:type="dxa" w:w="110"/>
              <w:bottom w:type="dxa" w:w="90"/>
              <w:right w:type="dxa" w:w="110"/>
            </w:tcMar>
            <w:vAlign w:val="center"/>
          </w:tcPr>
          <w:p>
            <w:r>
              <w:rPr>
                <w:b/>
                <w:bCs/>
                <w:color w:val="FFFFFF"/>
                <w:sz w:val="19"/>
                <w:szCs w:val="19"/>
              </w:rPr>
              <w:t xml:space="preserve">Year-Month</w:t>
            </w:r>
          </w:p>
        </w:tc>
        <w:tc>
          <w:tcPr>
            <w:tcW w:type="dxa" w:w="6280"/>
            <w:shd w:fill="1F2A44" w:color="auto" w:val="clear"/>
            <w:tcMar>
              <w:top w:type="dxa" w:w="90"/>
              <w:left w:type="dxa" w:w="110"/>
              <w:bottom w:type="dxa" w:w="90"/>
              <w:right w:type="dxa" w:w="110"/>
            </w:tcMar>
            <w:vAlign w:val="center"/>
          </w:tcPr>
          <w:p>
            <w:r>
              <w:rPr>
                <w:b/>
                <w:bCs/>
                <w:color w:val="FFFFFF"/>
                <w:sz w:val="19"/>
                <w:szCs w:val="19"/>
              </w:rPr>
              <w:t xml:space="preserve">Semantically related so far</w:t>
            </w:r>
          </w:p>
        </w:tc>
      </w:tr>
      <w:tr>
        <w:trPr>
          <w:cantSplit/>
        </w:trPr>
        <w:tc>
          <w:tcPr>
            <w:tcW w:type="dxa" w:w="1400"/>
            <w:tcMar>
              <w:top w:type="dxa" w:w="90"/>
              <w:left w:type="dxa" w:w="110"/>
              <w:bottom w:type="dxa" w:w="90"/>
              <w:right w:type="dxa" w:w="110"/>
            </w:tcMar>
            <w:vAlign w:val="center"/>
          </w:tcPr>
          <w:p>
            <w:r>
              <w:rPr>
                <w:sz w:val="18"/>
                <w:szCs w:val="18"/>
              </w:rPr>
              <w:t xml:space="preserve">3</w:t>
            </w:r>
          </w:p>
        </w:tc>
        <w:tc>
          <w:tcPr>
            <w:tcW w:type="dxa" w:w="2400"/>
            <w:tcMar>
              <w:top w:type="dxa" w:w="90"/>
              <w:left w:type="dxa" w:w="110"/>
              <w:bottom w:type="dxa" w:w="90"/>
              <w:right w:type="dxa" w:w="110"/>
            </w:tcMar>
            <w:vAlign w:val="center"/>
          </w:tcPr>
          <w:p>
            <w:r>
              <w:rPr>
                <w:sz w:val="18"/>
                <w:szCs w:val="18"/>
              </w:rPr>
              <w:t xml:space="preserve">2019-09</w:t>
            </w:r>
          </w:p>
        </w:tc>
        <w:tc>
          <w:tcPr>
            <w:tcW w:type="dxa" w:w="6280"/>
            <w:tcMar>
              <w:top w:type="dxa" w:w="90"/>
              <w:left w:type="dxa" w:w="110"/>
              <w:bottom w:type="dxa" w:w="90"/>
              <w:right w:type="dxa" w:w="110"/>
            </w:tcMar>
            <w:vAlign w:val="center"/>
          </w:tcPr>
          <w:p>
            <w:r>
              <w:rPr>
                <w:sz w:val="18"/>
                <w:szCs w:val="18"/>
              </w:rPr>
              <w:t xml:space="preserve">1</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4</w:t>
            </w:r>
          </w:p>
        </w:tc>
        <w:tc>
          <w:tcPr>
            <w:tcW w:type="dxa" w:w="2400"/>
            <w:shd w:fill="EEF2F8" w:color="auto" w:val="clear"/>
            <w:tcMar>
              <w:top w:type="dxa" w:w="90"/>
              <w:left w:type="dxa" w:w="110"/>
              <w:bottom w:type="dxa" w:w="90"/>
              <w:right w:type="dxa" w:w="110"/>
            </w:tcMar>
            <w:vAlign w:val="center"/>
          </w:tcPr>
          <w:p>
            <w:r>
              <w:rPr>
                <w:sz w:val="18"/>
                <w:szCs w:val="18"/>
              </w:rPr>
              <w:t xml:space="preserve">2019-09</w:t>
            </w:r>
          </w:p>
        </w:tc>
        <w:tc>
          <w:tcPr>
            <w:tcW w:type="dxa" w:w="6280"/>
            <w:shd w:fill="EEF2F8" w:color="auto" w:val="clear"/>
            <w:tcMar>
              <w:top w:type="dxa" w:w="90"/>
              <w:left w:type="dxa" w:w="110"/>
              <w:bottom w:type="dxa" w:w="90"/>
              <w:right w:type="dxa" w:w="110"/>
            </w:tcMar>
            <w:vAlign w:val="center"/>
          </w:tcPr>
          <w:p>
            <w:r>
              <w:rPr>
                <w:sz w:val="18"/>
                <w:szCs w:val="18"/>
              </w:rPr>
              <w:t xml:space="preserve">2</w:t>
            </w:r>
          </w:p>
        </w:tc>
      </w:tr>
      <w:tr>
        <w:trPr>
          <w:cantSplit/>
        </w:trPr>
        <w:tc>
          <w:tcPr>
            <w:tcW w:type="dxa" w:w="1400"/>
            <w:tcMar>
              <w:top w:type="dxa" w:w="90"/>
              <w:left w:type="dxa" w:w="110"/>
              <w:bottom w:type="dxa" w:w="90"/>
              <w:right w:type="dxa" w:w="110"/>
            </w:tcMar>
            <w:vAlign w:val="center"/>
          </w:tcPr>
          <w:p>
            <w:r>
              <w:rPr>
                <w:sz w:val="18"/>
                <w:szCs w:val="18"/>
              </w:rPr>
              <w:t xml:space="preserve">5</w:t>
            </w:r>
          </w:p>
        </w:tc>
        <w:tc>
          <w:tcPr>
            <w:tcW w:type="dxa" w:w="2400"/>
            <w:tcMar>
              <w:top w:type="dxa" w:w="90"/>
              <w:left w:type="dxa" w:w="110"/>
              <w:bottom w:type="dxa" w:w="90"/>
              <w:right w:type="dxa" w:w="110"/>
            </w:tcMar>
            <w:vAlign w:val="center"/>
          </w:tcPr>
          <w:p>
            <w:r>
              <w:rPr>
                <w:sz w:val="18"/>
                <w:szCs w:val="18"/>
              </w:rPr>
              <w:t xml:space="preserve">2020-01</w:t>
            </w:r>
          </w:p>
        </w:tc>
        <w:tc>
          <w:tcPr>
            <w:tcW w:type="dxa" w:w="6280"/>
            <w:tcMar>
              <w:top w:type="dxa" w:w="90"/>
              <w:left w:type="dxa" w:w="110"/>
              <w:bottom w:type="dxa" w:w="90"/>
              <w:right w:type="dxa" w:w="110"/>
            </w:tcMar>
            <w:vAlign w:val="center"/>
          </w:tcPr>
          <w:p>
            <w:r>
              <w:rPr>
                <w:sz w:val="18"/>
                <w:szCs w:val="18"/>
              </w:rPr>
              <w:t xml:space="preserve">3</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6</w:t>
            </w:r>
          </w:p>
        </w:tc>
        <w:tc>
          <w:tcPr>
            <w:tcW w:type="dxa" w:w="2400"/>
            <w:shd w:fill="EEF2F8" w:color="auto" w:val="clear"/>
            <w:tcMar>
              <w:top w:type="dxa" w:w="90"/>
              <w:left w:type="dxa" w:w="110"/>
              <w:bottom w:type="dxa" w:w="90"/>
              <w:right w:type="dxa" w:w="110"/>
            </w:tcMar>
            <w:vAlign w:val="center"/>
          </w:tcPr>
          <w:p>
            <w:r>
              <w:rPr>
                <w:sz w:val="18"/>
                <w:szCs w:val="18"/>
              </w:rPr>
              <w:t xml:space="preserve">2020-05</w:t>
            </w:r>
          </w:p>
        </w:tc>
        <w:tc>
          <w:tcPr>
            <w:tcW w:type="dxa" w:w="6280"/>
            <w:shd w:fill="EEF2F8" w:color="auto" w:val="clear"/>
            <w:tcMar>
              <w:top w:type="dxa" w:w="90"/>
              <w:left w:type="dxa" w:w="110"/>
              <w:bottom w:type="dxa" w:w="90"/>
              <w:right w:type="dxa" w:w="110"/>
            </w:tcMar>
            <w:vAlign w:val="center"/>
          </w:tcPr>
          <w:p>
            <w:r>
              <w:rPr>
                <w:sz w:val="18"/>
                <w:szCs w:val="18"/>
              </w:rPr>
              <w:t xml:space="preserve">4</w:t>
            </w:r>
          </w:p>
        </w:tc>
      </w:tr>
      <w:tr>
        <w:trPr>
          <w:cantSplit/>
        </w:trPr>
        <w:tc>
          <w:tcPr>
            <w:tcW w:type="dxa" w:w="1400"/>
            <w:tcMar>
              <w:top w:type="dxa" w:w="90"/>
              <w:left w:type="dxa" w:w="110"/>
              <w:bottom w:type="dxa" w:w="90"/>
              <w:right w:type="dxa" w:w="110"/>
            </w:tcMar>
            <w:vAlign w:val="center"/>
          </w:tcPr>
          <w:p>
            <w:r>
              <w:rPr>
                <w:sz w:val="18"/>
                <w:szCs w:val="18"/>
              </w:rPr>
              <w:t xml:space="preserve">7</w:t>
            </w:r>
          </w:p>
        </w:tc>
        <w:tc>
          <w:tcPr>
            <w:tcW w:type="dxa" w:w="2400"/>
            <w:tcMar>
              <w:top w:type="dxa" w:w="90"/>
              <w:left w:type="dxa" w:w="110"/>
              <w:bottom w:type="dxa" w:w="90"/>
              <w:right w:type="dxa" w:w="110"/>
            </w:tcMar>
            <w:vAlign w:val="center"/>
          </w:tcPr>
          <w:p>
            <w:r>
              <w:rPr>
                <w:sz w:val="18"/>
                <w:szCs w:val="18"/>
              </w:rPr>
              <w:t xml:space="preserve">2020-10</w:t>
            </w:r>
          </w:p>
        </w:tc>
        <w:tc>
          <w:tcPr>
            <w:tcW w:type="dxa" w:w="6280"/>
            <w:tcMar>
              <w:top w:type="dxa" w:w="90"/>
              <w:left w:type="dxa" w:w="110"/>
              <w:bottom w:type="dxa" w:w="90"/>
              <w:right w:type="dxa" w:w="110"/>
            </w:tcMar>
            <w:vAlign w:val="center"/>
          </w:tcPr>
          <w:p>
            <w:r>
              <w:rPr>
                <w:sz w:val="18"/>
                <w:szCs w:val="18"/>
              </w:rPr>
              <w:t xml:space="preserve">5</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8</w:t>
            </w:r>
          </w:p>
        </w:tc>
        <w:tc>
          <w:tcPr>
            <w:tcW w:type="dxa" w:w="2400"/>
            <w:shd w:fill="EEF2F8" w:color="auto" w:val="clear"/>
            <w:tcMar>
              <w:top w:type="dxa" w:w="90"/>
              <w:left w:type="dxa" w:w="110"/>
              <w:bottom w:type="dxa" w:w="90"/>
              <w:right w:type="dxa" w:w="110"/>
            </w:tcMar>
            <w:vAlign w:val="center"/>
          </w:tcPr>
          <w:p>
            <w:r>
              <w:rPr>
                <w:sz w:val="18"/>
                <w:szCs w:val="18"/>
              </w:rPr>
              <w:t xml:space="preserve">2020-12</w:t>
            </w:r>
          </w:p>
        </w:tc>
        <w:tc>
          <w:tcPr>
            <w:tcW w:type="dxa" w:w="6280"/>
            <w:shd w:fill="EEF2F8" w:color="auto" w:val="clear"/>
            <w:tcMar>
              <w:top w:type="dxa" w:w="90"/>
              <w:left w:type="dxa" w:w="110"/>
              <w:bottom w:type="dxa" w:w="90"/>
              <w:right w:type="dxa" w:w="110"/>
            </w:tcMar>
            <w:vAlign w:val="center"/>
          </w:tcPr>
          <w:p>
            <w:r>
              <w:rPr>
                <w:sz w:val="18"/>
                <w:szCs w:val="18"/>
              </w:rPr>
              <w:t xml:space="preserve">6</w:t>
            </w:r>
          </w:p>
        </w:tc>
      </w:tr>
      <w:tr>
        <w:trPr>
          <w:cantSplit/>
        </w:trPr>
        <w:tc>
          <w:tcPr>
            <w:tcW w:type="dxa" w:w="1400"/>
            <w:tcMar>
              <w:top w:type="dxa" w:w="90"/>
              <w:left w:type="dxa" w:w="110"/>
              <w:bottom w:type="dxa" w:w="90"/>
              <w:right w:type="dxa" w:w="110"/>
            </w:tcMar>
            <w:vAlign w:val="center"/>
          </w:tcPr>
          <w:p>
            <w:r>
              <w:rPr>
                <w:sz w:val="18"/>
                <w:szCs w:val="18"/>
              </w:rPr>
              <w:t xml:space="preserve">9</w:t>
            </w:r>
          </w:p>
        </w:tc>
        <w:tc>
          <w:tcPr>
            <w:tcW w:type="dxa" w:w="2400"/>
            <w:tcMar>
              <w:top w:type="dxa" w:w="90"/>
              <w:left w:type="dxa" w:w="110"/>
              <w:bottom w:type="dxa" w:w="90"/>
              <w:right w:type="dxa" w:w="110"/>
            </w:tcMar>
            <w:vAlign w:val="center"/>
          </w:tcPr>
          <w:p>
            <w:r>
              <w:rPr>
                <w:sz w:val="18"/>
                <w:szCs w:val="18"/>
              </w:rPr>
              <w:t xml:space="preserve">2021-01</w:t>
            </w:r>
          </w:p>
        </w:tc>
        <w:tc>
          <w:tcPr>
            <w:tcW w:type="dxa" w:w="6280"/>
            <w:tcMar>
              <w:top w:type="dxa" w:w="90"/>
              <w:left w:type="dxa" w:w="110"/>
              <w:bottom w:type="dxa" w:w="90"/>
              <w:right w:type="dxa" w:w="110"/>
            </w:tcMar>
            <w:vAlign w:val="center"/>
          </w:tcPr>
          <w:p>
            <w:r>
              <w:rPr>
                <w:sz w:val="18"/>
                <w:szCs w:val="18"/>
              </w:rPr>
              <w:t xml:space="preserve">6</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10</w:t>
            </w:r>
          </w:p>
        </w:tc>
        <w:tc>
          <w:tcPr>
            <w:tcW w:type="dxa" w:w="2400"/>
            <w:shd w:fill="EEF2F8" w:color="auto" w:val="clear"/>
            <w:tcMar>
              <w:top w:type="dxa" w:w="90"/>
              <w:left w:type="dxa" w:w="110"/>
              <w:bottom w:type="dxa" w:w="90"/>
              <w:right w:type="dxa" w:w="110"/>
            </w:tcMar>
            <w:vAlign w:val="center"/>
          </w:tcPr>
          <w:p>
            <w:r>
              <w:rPr>
                <w:sz w:val="18"/>
                <w:szCs w:val="18"/>
              </w:rPr>
              <w:t xml:space="preserve">2021-02</w:t>
            </w:r>
          </w:p>
        </w:tc>
        <w:tc>
          <w:tcPr>
            <w:tcW w:type="dxa" w:w="6280"/>
            <w:shd w:fill="EEF2F8" w:color="auto" w:val="clear"/>
            <w:tcMar>
              <w:top w:type="dxa" w:w="90"/>
              <w:left w:type="dxa" w:w="110"/>
              <w:bottom w:type="dxa" w:w="90"/>
              <w:right w:type="dxa" w:w="110"/>
            </w:tcMar>
            <w:vAlign w:val="center"/>
          </w:tcPr>
          <w:p>
            <w:r>
              <w:rPr>
                <w:sz w:val="18"/>
                <w:szCs w:val="18"/>
              </w:rPr>
              <w:t xml:space="preserve">7</w:t>
            </w:r>
          </w:p>
        </w:tc>
      </w:tr>
      <w:tr>
        <w:trPr>
          <w:cantSplit/>
        </w:trPr>
        <w:tc>
          <w:tcPr>
            <w:tcW w:type="dxa" w:w="1400"/>
            <w:tcMar>
              <w:top w:type="dxa" w:w="90"/>
              <w:left w:type="dxa" w:w="110"/>
              <w:bottom w:type="dxa" w:w="90"/>
              <w:right w:type="dxa" w:w="110"/>
            </w:tcMar>
            <w:vAlign w:val="center"/>
          </w:tcPr>
          <w:p>
            <w:r>
              <w:rPr>
                <w:sz w:val="18"/>
                <w:szCs w:val="18"/>
              </w:rPr>
              <w:t xml:space="preserve">11</w:t>
            </w:r>
          </w:p>
        </w:tc>
        <w:tc>
          <w:tcPr>
            <w:tcW w:type="dxa" w:w="2400"/>
            <w:tcMar>
              <w:top w:type="dxa" w:w="90"/>
              <w:left w:type="dxa" w:w="110"/>
              <w:bottom w:type="dxa" w:w="90"/>
              <w:right w:type="dxa" w:w="110"/>
            </w:tcMar>
            <w:vAlign w:val="center"/>
          </w:tcPr>
          <w:p>
            <w:r>
              <w:rPr>
                <w:sz w:val="18"/>
                <w:szCs w:val="18"/>
              </w:rPr>
              <w:t xml:space="preserve">2021-02</w:t>
            </w:r>
          </w:p>
        </w:tc>
        <w:tc>
          <w:tcPr>
            <w:tcW w:type="dxa" w:w="6280"/>
            <w:tcMar>
              <w:top w:type="dxa" w:w="90"/>
              <w:left w:type="dxa" w:w="110"/>
              <w:bottom w:type="dxa" w:w="90"/>
              <w:right w:type="dxa" w:w="110"/>
            </w:tcMar>
            <w:vAlign w:val="center"/>
          </w:tcPr>
          <w:p>
            <w:r>
              <w:rPr>
                <w:sz w:val="18"/>
                <w:szCs w:val="18"/>
              </w:rPr>
              <w:t xml:space="preserve">8</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12</w:t>
            </w:r>
          </w:p>
        </w:tc>
        <w:tc>
          <w:tcPr>
            <w:tcW w:type="dxa" w:w="2400"/>
            <w:shd w:fill="EEF2F8" w:color="auto" w:val="clear"/>
            <w:tcMar>
              <w:top w:type="dxa" w:w="90"/>
              <w:left w:type="dxa" w:w="110"/>
              <w:bottom w:type="dxa" w:w="90"/>
              <w:right w:type="dxa" w:w="110"/>
            </w:tcMar>
            <w:vAlign w:val="center"/>
          </w:tcPr>
          <w:p>
            <w:r>
              <w:rPr>
                <w:sz w:val="18"/>
                <w:szCs w:val="18"/>
              </w:rPr>
              <w:t xml:space="preserve">2021-03</w:t>
            </w:r>
          </w:p>
        </w:tc>
        <w:tc>
          <w:tcPr>
            <w:tcW w:type="dxa" w:w="6280"/>
            <w:shd w:fill="EEF2F8" w:color="auto" w:val="clear"/>
            <w:tcMar>
              <w:top w:type="dxa" w:w="90"/>
              <w:left w:type="dxa" w:w="110"/>
              <w:bottom w:type="dxa" w:w="90"/>
              <w:right w:type="dxa" w:w="110"/>
            </w:tcMar>
            <w:vAlign w:val="center"/>
          </w:tcPr>
          <w:p>
            <w:r>
              <w:rPr>
                <w:sz w:val="18"/>
                <w:szCs w:val="18"/>
              </w:rPr>
              <w:t xml:space="preserve">8</w:t>
            </w:r>
          </w:p>
        </w:tc>
      </w:tr>
      <w:tr>
        <w:trPr>
          <w:cantSplit/>
        </w:trPr>
        <w:tc>
          <w:tcPr>
            <w:tcW w:type="dxa" w:w="1400"/>
            <w:tcMar>
              <w:top w:type="dxa" w:w="90"/>
              <w:left w:type="dxa" w:w="110"/>
              <w:bottom w:type="dxa" w:w="90"/>
              <w:right w:type="dxa" w:w="110"/>
            </w:tcMar>
            <w:vAlign w:val="center"/>
          </w:tcPr>
          <w:p>
            <w:r>
              <w:rPr>
                <w:sz w:val="18"/>
                <w:szCs w:val="18"/>
              </w:rPr>
              <w:t xml:space="preserve">13</w:t>
            </w:r>
          </w:p>
        </w:tc>
        <w:tc>
          <w:tcPr>
            <w:tcW w:type="dxa" w:w="2400"/>
            <w:tcMar>
              <w:top w:type="dxa" w:w="90"/>
              <w:left w:type="dxa" w:w="110"/>
              <w:bottom w:type="dxa" w:w="90"/>
              <w:right w:type="dxa" w:w="110"/>
            </w:tcMar>
            <w:vAlign w:val="center"/>
          </w:tcPr>
          <w:p>
            <w:r>
              <w:rPr>
                <w:sz w:val="18"/>
                <w:szCs w:val="18"/>
              </w:rPr>
              <w:t xml:space="preserve">2021-04</w:t>
            </w:r>
          </w:p>
        </w:tc>
        <w:tc>
          <w:tcPr>
            <w:tcW w:type="dxa" w:w="6280"/>
            <w:tcMar>
              <w:top w:type="dxa" w:w="90"/>
              <w:left w:type="dxa" w:w="110"/>
              <w:bottom w:type="dxa" w:w="90"/>
              <w:right w:type="dxa" w:w="110"/>
            </w:tcMar>
            <w:vAlign w:val="center"/>
          </w:tcPr>
          <w:p>
            <w:r>
              <w:rPr>
                <w:sz w:val="18"/>
                <w:szCs w:val="18"/>
              </w:rPr>
              <w:t xml:space="preserve">9</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14</w:t>
            </w:r>
          </w:p>
        </w:tc>
        <w:tc>
          <w:tcPr>
            <w:tcW w:type="dxa" w:w="2400"/>
            <w:shd w:fill="EEF2F8" w:color="auto" w:val="clear"/>
            <w:tcMar>
              <w:top w:type="dxa" w:w="90"/>
              <w:left w:type="dxa" w:w="110"/>
              <w:bottom w:type="dxa" w:w="90"/>
              <w:right w:type="dxa" w:w="110"/>
            </w:tcMar>
            <w:vAlign w:val="center"/>
          </w:tcPr>
          <w:p>
            <w:r>
              <w:rPr>
                <w:sz w:val="18"/>
                <w:szCs w:val="18"/>
              </w:rPr>
              <w:t xml:space="preserve">2021-07</w:t>
            </w:r>
          </w:p>
        </w:tc>
        <w:tc>
          <w:tcPr>
            <w:tcW w:type="dxa" w:w="6280"/>
            <w:shd w:fill="EEF2F8" w:color="auto" w:val="clear"/>
            <w:tcMar>
              <w:top w:type="dxa" w:w="90"/>
              <w:left w:type="dxa" w:w="110"/>
              <w:bottom w:type="dxa" w:w="90"/>
              <w:right w:type="dxa" w:w="110"/>
            </w:tcMar>
            <w:vAlign w:val="center"/>
          </w:tcPr>
          <w:p>
            <w:r>
              <w:rPr>
                <w:sz w:val="18"/>
                <w:szCs w:val="18"/>
              </w:rPr>
              <w:t xml:space="preserve">9</w:t>
            </w:r>
          </w:p>
        </w:tc>
      </w:tr>
      <w:tr>
        <w:trPr>
          <w:cantSplit/>
        </w:trPr>
        <w:tc>
          <w:tcPr>
            <w:tcW w:type="dxa" w:w="1400"/>
            <w:tcMar>
              <w:top w:type="dxa" w:w="90"/>
              <w:left w:type="dxa" w:w="110"/>
              <w:bottom w:type="dxa" w:w="90"/>
              <w:right w:type="dxa" w:w="110"/>
            </w:tcMar>
            <w:vAlign w:val="center"/>
          </w:tcPr>
          <w:p>
            <w:r>
              <w:rPr>
                <w:sz w:val="18"/>
                <w:szCs w:val="18"/>
              </w:rPr>
              <w:t xml:space="preserve">15</w:t>
            </w:r>
          </w:p>
        </w:tc>
        <w:tc>
          <w:tcPr>
            <w:tcW w:type="dxa" w:w="2400"/>
            <w:tcMar>
              <w:top w:type="dxa" w:w="90"/>
              <w:left w:type="dxa" w:w="110"/>
              <w:bottom w:type="dxa" w:w="90"/>
              <w:right w:type="dxa" w:w="110"/>
            </w:tcMar>
            <w:vAlign w:val="center"/>
          </w:tcPr>
          <w:p>
            <w:r>
              <w:rPr>
                <w:sz w:val="18"/>
                <w:szCs w:val="18"/>
              </w:rPr>
              <w:t xml:space="preserve">2022-01</w:t>
            </w:r>
          </w:p>
        </w:tc>
        <w:tc>
          <w:tcPr>
            <w:tcW w:type="dxa" w:w="6280"/>
            <w:tcMar>
              <w:top w:type="dxa" w:w="90"/>
              <w:left w:type="dxa" w:w="110"/>
              <w:bottom w:type="dxa" w:w="90"/>
              <w:right w:type="dxa" w:w="110"/>
            </w:tcMar>
            <w:vAlign w:val="center"/>
          </w:tcPr>
          <w:p>
            <w:r>
              <w:rPr>
                <w:sz w:val="18"/>
                <w:szCs w:val="18"/>
              </w:rPr>
              <w:t xml:space="preserve">10</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16</w:t>
            </w:r>
          </w:p>
        </w:tc>
        <w:tc>
          <w:tcPr>
            <w:tcW w:type="dxa" w:w="2400"/>
            <w:shd w:fill="EEF2F8" w:color="auto" w:val="clear"/>
            <w:tcMar>
              <w:top w:type="dxa" w:w="90"/>
              <w:left w:type="dxa" w:w="110"/>
              <w:bottom w:type="dxa" w:w="90"/>
              <w:right w:type="dxa" w:w="110"/>
            </w:tcMar>
            <w:vAlign w:val="center"/>
          </w:tcPr>
          <w:p>
            <w:r>
              <w:rPr>
                <w:sz w:val="18"/>
                <w:szCs w:val="18"/>
              </w:rPr>
              <w:t xml:space="preserve">2022-05</w:t>
            </w:r>
          </w:p>
        </w:tc>
        <w:tc>
          <w:tcPr>
            <w:tcW w:type="dxa" w:w="6280"/>
            <w:shd w:fill="EEF2F8" w:color="auto" w:val="clear"/>
            <w:tcMar>
              <w:top w:type="dxa" w:w="90"/>
              <w:left w:type="dxa" w:w="110"/>
              <w:bottom w:type="dxa" w:w="90"/>
              <w:right w:type="dxa" w:w="110"/>
            </w:tcMar>
            <w:vAlign w:val="center"/>
          </w:tcPr>
          <w:p>
            <w:r>
              <w:rPr>
                <w:sz w:val="18"/>
                <w:szCs w:val="18"/>
              </w:rPr>
              <w:t xml:space="preserve">11</w:t>
            </w:r>
          </w:p>
        </w:tc>
      </w:tr>
      <w:tr>
        <w:trPr>
          <w:cantSplit/>
        </w:trPr>
        <w:tc>
          <w:tcPr>
            <w:tcW w:type="dxa" w:w="1400"/>
            <w:tcMar>
              <w:top w:type="dxa" w:w="90"/>
              <w:left w:type="dxa" w:w="110"/>
              <w:bottom w:type="dxa" w:w="90"/>
              <w:right w:type="dxa" w:w="110"/>
            </w:tcMar>
            <w:vAlign w:val="center"/>
          </w:tcPr>
          <w:p>
            <w:r>
              <w:rPr>
                <w:sz w:val="18"/>
                <w:szCs w:val="18"/>
              </w:rPr>
              <w:t xml:space="preserve">17</w:t>
            </w:r>
          </w:p>
        </w:tc>
        <w:tc>
          <w:tcPr>
            <w:tcW w:type="dxa" w:w="2400"/>
            <w:tcMar>
              <w:top w:type="dxa" w:w="90"/>
              <w:left w:type="dxa" w:w="110"/>
              <w:bottom w:type="dxa" w:w="90"/>
              <w:right w:type="dxa" w:w="110"/>
            </w:tcMar>
            <w:vAlign w:val="center"/>
          </w:tcPr>
          <w:p>
            <w:r>
              <w:rPr>
                <w:sz w:val="18"/>
                <w:szCs w:val="18"/>
              </w:rPr>
              <w:t xml:space="preserve">2022-10</w:t>
            </w:r>
          </w:p>
        </w:tc>
        <w:tc>
          <w:tcPr>
            <w:tcW w:type="dxa" w:w="6280"/>
            <w:tcMar>
              <w:top w:type="dxa" w:w="90"/>
              <w:left w:type="dxa" w:w="110"/>
              <w:bottom w:type="dxa" w:w="90"/>
              <w:right w:type="dxa" w:w="110"/>
            </w:tcMar>
            <w:vAlign w:val="center"/>
          </w:tcPr>
          <w:p>
            <w:r>
              <w:rPr>
                <w:sz w:val="18"/>
                <w:szCs w:val="18"/>
              </w:rPr>
              <w:t xml:space="preserve">11</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18</w:t>
            </w:r>
          </w:p>
        </w:tc>
        <w:tc>
          <w:tcPr>
            <w:tcW w:type="dxa" w:w="2400"/>
            <w:shd w:fill="EEF2F8" w:color="auto" w:val="clear"/>
            <w:tcMar>
              <w:top w:type="dxa" w:w="90"/>
              <w:left w:type="dxa" w:w="110"/>
              <w:bottom w:type="dxa" w:w="90"/>
              <w:right w:type="dxa" w:w="110"/>
            </w:tcMar>
            <w:vAlign w:val="center"/>
          </w:tcPr>
          <w:p>
            <w:r>
              <w:rPr>
                <w:sz w:val="18"/>
                <w:szCs w:val="18"/>
              </w:rPr>
              <w:t xml:space="preserve">2023-10</w:t>
            </w:r>
          </w:p>
        </w:tc>
        <w:tc>
          <w:tcPr>
            <w:tcW w:type="dxa" w:w="6280"/>
            <w:shd w:fill="EEF2F8" w:color="auto" w:val="clear"/>
            <w:tcMar>
              <w:top w:type="dxa" w:w="90"/>
              <w:left w:type="dxa" w:w="110"/>
              <w:bottom w:type="dxa" w:w="90"/>
              <w:right w:type="dxa" w:w="110"/>
            </w:tcMar>
            <w:vAlign w:val="center"/>
          </w:tcPr>
          <w:p>
            <w:r>
              <w:rPr>
                <w:sz w:val="18"/>
                <w:szCs w:val="18"/>
              </w:rPr>
              <w:t xml:space="preserve">12</w:t>
            </w:r>
          </w:p>
        </w:tc>
      </w:tr>
      <w:tr>
        <w:trPr>
          <w:cantSplit/>
        </w:trPr>
        <w:tc>
          <w:tcPr>
            <w:tcW w:type="dxa" w:w="1400"/>
            <w:tcMar>
              <w:top w:type="dxa" w:w="90"/>
              <w:left w:type="dxa" w:w="110"/>
              <w:bottom w:type="dxa" w:w="90"/>
              <w:right w:type="dxa" w:w="110"/>
            </w:tcMar>
            <w:vAlign w:val="center"/>
          </w:tcPr>
          <w:p>
            <w:r>
              <w:rPr>
                <w:sz w:val="18"/>
                <w:szCs w:val="18"/>
              </w:rPr>
              <w:t xml:space="preserve">19</w:t>
            </w:r>
          </w:p>
        </w:tc>
        <w:tc>
          <w:tcPr>
            <w:tcW w:type="dxa" w:w="2400"/>
            <w:tcMar>
              <w:top w:type="dxa" w:w="90"/>
              <w:left w:type="dxa" w:w="110"/>
              <w:bottom w:type="dxa" w:w="90"/>
              <w:right w:type="dxa" w:w="110"/>
            </w:tcMar>
            <w:vAlign w:val="center"/>
          </w:tcPr>
          <w:p>
            <w:r>
              <w:rPr>
                <w:sz w:val="18"/>
                <w:szCs w:val="18"/>
              </w:rPr>
              <w:t xml:space="preserve">2024-02</w:t>
            </w:r>
          </w:p>
        </w:tc>
        <w:tc>
          <w:tcPr>
            <w:tcW w:type="dxa" w:w="6280"/>
            <w:tcMar>
              <w:top w:type="dxa" w:w="90"/>
              <w:left w:type="dxa" w:w="110"/>
              <w:bottom w:type="dxa" w:w="90"/>
              <w:right w:type="dxa" w:w="110"/>
            </w:tcMar>
            <w:vAlign w:val="center"/>
          </w:tcPr>
          <w:p>
            <w:r>
              <w:rPr>
                <w:sz w:val="18"/>
                <w:szCs w:val="18"/>
              </w:rPr>
              <w:t xml:space="preserve">13</w:t>
            </w:r>
          </w:p>
        </w:tc>
      </w:tr>
      <w:tr>
        <w:trPr>
          <w:cantSplit/>
        </w:trPr>
        <w:tc>
          <w:tcPr>
            <w:tcW w:type="dxa" w:w="1400"/>
            <w:shd w:fill="EEF2F8" w:color="auto" w:val="clear"/>
            <w:tcMar>
              <w:top w:type="dxa" w:w="90"/>
              <w:left w:type="dxa" w:w="110"/>
              <w:bottom w:type="dxa" w:w="90"/>
              <w:right w:type="dxa" w:w="110"/>
            </w:tcMar>
            <w:vAlign w:val="center"/>
          </w:tcPr>
          <w:p>
            <w:r>
              <w:rPr>
                <w:sz w:val="18"/>
                <w:szCs w:val="18"/>
              </w:rPr>
              <w:t xml:space="preserve">20</w:t>
            </w:r>
          </w:p>
        </w:tc>
        <w:tc>
          <w:tcPr>
            <w:tcW w:type="dxa" w:w="2400"/>
            <w:shd w:fill="EEF2F8" w:color="auto" w:val="clear"/>
            <w:tcMar>
              <w:top w:type="dxa" w:w="90"/>
              <w:left w:type="dxa" w:w="110"/>
              <w:bottom w:type="dxa" w:w="90"/>
              <w:right w:type="dxa" w:w="110"/>
            </w:tcMar>
            <w:vAlign w:val="center"/>
          </w:tcPr>
          <w:p>
            <w:r>
              <w:rPr>
                <w:sz w:val="18"/>
                <w:szCs w:val="18"/>
              </w:rPr>
              <w:t xml:space="preserve">2024-06</w:t>
            </w:r>
          </w:p>
        </w:tc>
        <w:tc>
          <w:tcPr>
            <w:tcW w:type="dxa" w:w="6280"/>
            <w:shd w:fill="EEF2F8" w:color="auto" w:val="clear"/>
            <w:tcMar>
              <w:top w:type="dxa" w:w="90"/>
              <w:left w:type="dxa" w:w="110"/>
              <w:bottom w:type="dxa" w:w="90"/>
              <w:right w:type="dxa" w:w="110"/>
            </w:tcMar>
            <w:vAlign w:val="center"/>
          </w:tcPr>
          <w:p>
            <w:r>
              <w:rPr>
                <w:sz w:val="18"/>
                <w:szCs w:val="18"/>
              </w:rPr>
              <w:t xml:space="preserve">14</w:t>
            </w:r>
          </w:p>
        </w:tc>
      </w:tr>
    </w:tbl>
    <w:p>
      <w:pPr>
        <w:spacing w:after="160" w:line="288"/>
      </w:pPr>
      <w:r>
        <w:rPr>
          <w:sz w:val="22"/>
          <w:szCs w:val="22"/>
        </w:rPr>
        <w:t xml:space="preserve">Note the semantic-relatedness count reaches 2 at t = 4 (September 2019) and continues climbing steadily thereafter, while the literal-term volume baseline stays at 0 until t = 11 (February 2021) — the 17-month gap reported in Section 8.</w:t>
      </w:r>
    </w:p>
    <w:p>
      <w:pPr>
        <w:pStyle w:val="Heading1"/>
        <w:pBdr>
          <w:bottom w:val="single" w:color="2E5EAA" w:sz="6" w:space="4"/>
        </w:pBdr>
        <w:spacing w:after="180" w:before="400"/>
      </w:pPr>
      <w:r>
        <w:rPr>
          <w:b/>
          <w:bCs/>
          <w:color w:val="1F2A44"/>
          <w:sz w:val="27"/>
          <w:szCs w:val="27"/>
        </w:rPr>
        <w:t xml:space="preserve">References</w:t>
      </w:r>
    </w:p>
    <w:p>
      <w:pPr>
        <w:spacing w:after="140" w:line="264"/>
        <w:ind w:left="360" w:hanging="360"/>
      </w:pPr>
      <w:r>
        <w:rPr>
          <w:sz w:val="20"/>
          <w:szCs w:val="20"/>
        </w:rPr>
        <w:t xml:space="preserve">Kleinberg, J. Bursty and Hierarchical Structure in Streams. Proceedings of the 8th ACM SIGKDD (2002); extended version, Data Mining and Knowledge Discovery (2003).</w:t>
      </w:r>
    </w:p>
    <w:p>
      <w:pPr>
        <w:spacing w:after="140" w:line="264"/>
        <w:ind w:left="360" w:hanging="360"/>
      </w:pPr>
      <w:r>
        <w:rPr>
          <w:sz w:val="20"/>
          <w:szCs w:val="20"/>
        </w:rPr>
        <w:t xml:space="preserve">Petrović, S., Osborne, M., and Lavrenko, V. Streaming First Story Detection with Application to Twitter. Proceedings of NAACL-HLT (2010).</w:t>
      </w:r>
    </w:p>
    <w:p>
      <w:pPr>
        <w:spacing w:after="140" w:line="264"/>
        <w:ind w:left="360" w:hanging="360"/>
      </w:pPr>
      <w:r>
        <w:rPr>
          <w:sz w:val="20"/>
          <w:szCs w:val="20"/>
        </w:rPr>
        <w:t xml:space="preserve">Schubert, E. et al. SigniTrend: Scalable Detection of Emerging Topics in Textual Streams by Hashed Significance Thresholds. Proceedings of ACM SIGKDD (2014).</w:t>
      </w:r>
    </w:p>
    <w:p>
      <w:pPr>
        <w:spacing w:after="140" w:line="264"/>
        <w:ind w:left="360" w:hanging="360"/>
      </w:pPr>
      <w:r>
        <w:rPr>
          <w:sz w:val="20"/>
          <w:szCs w:val="20"/>
        </w:rPr>
        <w:t xml:space="preserve">Boutaleb, A. et al. BERTrend: Neural Topic Modeling for Emerging Trends Detection. arXiv:2411.05930 (2024).</w:t>
      </w:r>
    </w:p>
    <w:p>
      <w:pPr>
        <w:spacing w:after="140" w:line="264"/>
        <w:ind w:left="360" w:hanging="360"/>
      </w:pPr>
      <w:r>
        <w:rPr>
          <w:sz w:val="20"/>
          <w:szCs w:val="20"/>
        </w:rPr>
        <w:t xml:space="preserve">Evaluation of unsupervised static topic models’ emergence detection ability. PeerJ Computer Science (2025).</w:t>
      </w:r>
    </w:p>
    <w:p>
      <w:pPr>
        <w:spacing w:after="140" w:line="264"/>
        <w:ind w:left="360" w:hanging="360"/>
      </w:pPr>
      <w:r>
        <w:rPr>
          <w:sz w:val="20"/>
          <w:szCs w:val="20"/>
        </w:rPr>
        <w:t xml:space="preserve">Radford, A. et al. Language Models are Unsupervised Multitask Learners (GPT-2). OpenAI (2019).</w:t>
      </w:r>
    </w:p>
    <w:p>
      <w:pPr>
        <w:spacing w:after="140" w:line="264"/>
        <w:ind w:left="360" w:hanging="360"/>
      </w:pPr>
      <w:r>
        <w:rPr>
          <w:sz w:val="20"/>
          <w:szCs w:val="20"/>
        </w:rPr>
        <w:t xml:space="preserve">Petroni, F. et al. Language Models as Knowledge Bases? Proceedings of EMNLP (2019).</w:t>
      </w:r>
    </w:p>
    <w:p>
      <w:pPr>
        <w:spacing w:after="140" w:line="264"/>
        <w:ind w:left="360" w:hanging="360"/>
      </w:pPr>
      <w:r>
        <w:rPr>
          <w:sz w:val="20"/>
          <w:szCs w:val="20"/>
        </w:rPr>
        <w:t xml:space="preserve">Keskar, N. et al. CTRL: A Conditional Transformer Language Model for Controllable Generation. arXiv:1909.05858 (2019).</w:t>
      </w:r>
    </w:p>
    <w:p>
      <w:pPr>
        <w:spacing w:after="140" w:line="264"/>
        <w:ind w:left="360" w:hanging="360"/>
      </w:pPr>
      <w:r>
        <w:rPr>
          <w:sz w:val="20"/>
          <w:szCs w:val="20"/>
        </w:rPr>
        <w:t xml:space="preserve">Schick, T. and Schütze, H. Exploiting Cloze Questions for Few-Shot Text Classification and Natural Language Inference. arXiv:2001.07676 (2020).</w:t>
      </w:r>
    </w:p>
    <w:p>
      <w:pPr>
        <w:spacing w:after="140" w:line="264"/>
        <w:ind w:left="360" w:hanging="360"/>
      </w:pPr>
      <w:r>
        <w:rPr>
          <w:sz w:val="20"/>
          <w:szCs w:val="20"/>
        </w:rPr>
        <w:t xml:space="preserve">Brown, T. et al. Language Models are Few-Shot Learners (GPT-3). Advances in Neural Information Processing Systems 33 (2020).</w:t>
      </w:r>
    </w:p>
    <w:p>
      <w:pPr>
        <w:spacing w:after="140" w:line="264"/>
        <w:ind w:left="360" w:hanging="360"/>
      </w:pPr>
      <w:r>
        <w:rPr>
          <w:sz w:val="20"/>
          <w:szCs w:val="20"/>
        </w:rPr>
        <w:t xml:space="preserve">Shin, T. et al. AutoPrompt: Eliciting Knowledge from Language Models with Automatically Generated Prompts. arXiv:2010.15980 (2020).</w:t>
      </w:r>
    </w:p>
    <w:p>
      <w:pPr>
        <w:spacing w:after="140" w:line="264"/>
        <w:ind w:left="360" w:hanging="360"/>
      </w:pPr>
      <w:r>
        <w:rPr>
          <w:sz w:val="20"/>
          <w:szCs w:val="20"/>
        </w:rPr>
        <w:t xml:space="preserve">Gao, T., Fisch, A., and Chen, D. Making Pre-trained Language Models Better Few-shot Learners. Proceedings of ACL (2021).</w:t>
      </w:r>
    </w:p>
    <w:p>
      <w:pPr>
        <w:spacing w:after="140" w:line="264"/>
        <w:ind w:left="360" w:hanging="360"/>
      </w:pPr>
      <w:r>
        <w:rPr>
          <w:sz w:val="20"/>
          <w:szCs w:val="20"/>
        </w:rPr>
        <w:t xml:space="preserve">Liu, X. et al. GPT Understands, Too. arXiv:2103.10385 (2021).</w:t>
      </w:r>
    </w:p>
    <w:p>
      <w:pPr>
        <w:spacing w:after="140" w:line="264"/>
        <w:ind w:left="360" w:hanging="360"/>
      </w:pPr>
      <w:r>
        <w:rPr>
          <w:sz w:val="20"/>
          <w:szCs w:val="20"/>
        </w:rPr>
        <w:t xml:space="preserve">Lester, B., Al-Rfou, R., and Constant, N. The Power of Scale for Parameter-Efficient Prompt Tuning. arXiv:2104.08691 (2021).</w:t>
      </w:r>
    </w:p>
    <w:p>
      <w:pPr>
        <w:spacing w:after="140" w:line="264"/>
        <w:ind w:left="360" w:hanging="360"/>
      </w:pPr>
      <w:r>
        <w:rPr>
          <w:sz w:val="20"/>
          <w:szCs w:val="20"/>
        </w:rPr>
        <w:t xml:space="preserve">Liu, P. et al. Pre-train, Prompt, and Predict: A Systematic Survey of Prompting Methods in Natural Language Processing. arXiv:2107.13586 (2021).</w:t>
      </w:r>
    </w:p>
    <w:p>
      <w:pPr>
        <w:spacing w:after="140" w:line="264"/>
        <w:ind w:left="360" w:hanging="360"/>
      </w:pPr>
      <w:r>
        <w:rPr>
          <w:sz w:val="20"/>
          <w:szCs w:val="20"/>
        </w:rPr>
        <w:t xml:space="preserve">Reynolds, L. and McDonell, K. Prompt Programming for Large Language Models: Beyond the Few-Shot Paradigm. arXiv (2021).</w:t>
      </w:r>
    </w:p>
    <w:p>
      <w:pPr>
        <w:spacing w:after="140" w:line="264"/>
        <w:ind w:left="360" w:hanging="360"/>
      </w:pPr>
      <w:r>
        <w:rPr>
          <w:sz w:val="20"/>
          <w:szCs w:val="20"/>
        </w:rPr>
        <w:t xml:space="preserve">Wei, J. et al. Chain-of-Thought Prompting Elicits Reasoning in Large Language Models. arXiv (2022).</w:t>
      </w:r>
    </w:p>
    <w:p>
      <w:pPr>
        <w:spacing w:after="140" w:line="264"/>
        <w:ind w:left="360" w:hanging="360"/>
      </w:pPr>
      <w:r>
        <w:rPr>
          <w:sz w:val="20"/>
          <w:szCs w:val="20"/>
        </w:rPr>
        <w:t xml:space="preserve">Chen, B. et al. Unleashing the Potential of Prompt Engineering for Large Language Models. arXiv:2310.14735 (2023).</w:t>
      </w:r>
    </w:p>
    <w:p>
      <w:pPr>
        <w:spacing w:after="140" w:line="264"/>
        <w:ind w:left="360" w:hanging="360"/>
      </w:pPr>
      <w:r>
        <w:rPr>
          <w:sz w:val="20"/>
          <w:szCs w:val="20"/>
        </w:rPr>
        <w:t xml:space="preserve">Sahoo, P. et al. A Systematic Survey of Prompt Engineering in Large Language Models: Techniques and Applications. arXiv:2402.07927 (2024).</w:t>
      </w:r>
    </w:p>
    <w:p>
      <w:pPr>
        <w:spacing w:after="140" w:line="264"/>
        <w:ind w:left="360" w:hanging="360"/>
      </w:pPr>
      <w:r>
        <w:rPr>
          <w:sz w:val="20"/>
          <w:szCs w:val="20"/>
        </w:rPr>
        <w:t xml:space="preserve">Schulhoff, S. et al. The Prompt Report: A Systematic Survey of Prompt Engineering Techniques. arXiv:2406.06608 (2024).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172df6457a51645abce3e9df99103a1d20ae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2026-09-24T10:07:34.424Z</dcterms:created>
  <dcterms:modified xsi:type="dcterms:W3CDTF">2026-09-24T10:07:34.424Z</dcterms:modified>
</cp:coreProperties>
</file>

<file path=docProps/custom.xml><?xml version="1.0" encoding="utf-8"?>
<Properties xmlns="http://schemas.openxmlformats.org/officeDocument/2006/custom-properties" xmlns:vt="http://schemas.openxmlformats.org/officeDocument/2006/docPropsVTypes"/>
</file>