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Georgia" w:hAnsi="Georgia"/>
          <w:b/>
          <w:color w:val="721F3A"/>
          <w:sz w:val="36"/>
        </w:rPr>
        <w:t>MagulaPlan (Magula.lk) — Cost Estimation, Budget &amp; Business Model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721F3A"/>
          <w:sz w:val="28"/>
        </w:rPr>
        <w:t>1. Cost Estimation &amp; Budget Overview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In accordance with academic project management guidelines (Section 1.4: Cost Estimation), this document establishes the planned and actual costs across Software, Cloud Infrastructure, Hardware Workstations, and Human Resources.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721F3A"/>
          <w:sz w:val="28"/>
        </w:rPr>
        <w:t>2. Planned vs. Actual Budget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Resource Category / Item</w:t>
            </w:r>
          </w:p>
        </w:tc>
        <w:tc>
          <w:tcPr>
            <w:tcW w:type="dxa" w:w="156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&amp; Purpose</w:t>
            </w:r>
          </w:p>
        </w:tc>
        <w:tc>
          <w:tcPr>
            <w:tcW w:type="dxa" w:w="156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Planned Budget (LKR)</w:t>
            </w:r>
          </w:p>
        </w:tc>
        <w:tc>
          <w:tcPr>
            <w:tcW w:type="dxa" w:w="156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Actual Budget (LKR)</w:t>
            </w:r>
          </w:p>
        </w:tc>
        <w:tc>
          <w:tcPr>
            <w:tcW w:type="dxa" w:w="156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Variance (Savings)</w:t>
            </w:r>
          </w:p>
        </w:tc>
        <w:tc>
          <w:tcPr>
            <w:tcW w:type="dxa" w:w="156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Optimization Strategy &amp; Justification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Human Resources (5 Engineers)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480 person-hours across Project Management, Backend, Frontend, Database, and QA Engineering (@ LKR 1,500/hr market rate)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720,000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720,000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0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Internal student engineering team allocation; 100% effort accounted.</w:t>
            </w:r>
          </w:p>
        </w:tc>
      </w:tr>
      <w:tr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Backend Cloud Hosting (Render)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Spring Boot 4.1 REST API container runtime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25,000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0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+LKR 25,000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Leveraged Render Free Web Service tier with health-check keep-alive scripts.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Frontend CDN Hosting (Netlify / InfinityFree)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React 19 SPA static web asset distribution &amp; edge routing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15,000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0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+LKR 15,000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Leveraged Netlify Global Free Tier &amp; InfinityFree unlimited bandwidth storage.</w:t>
            </w:r>
          </w:p>
        </w:tc>
      </w:tr>
      <w:tr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Managed Relational Database (Aiven MySQL)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MySQL 8.4 transactional database with TLS/SSL encryption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45,000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0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+LKR 45,000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Utilized Aiven Cloud Free Tier for academic evaluation and schema verification.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Domain Name &amp; DNS (magulaplan.lk)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Custom top-level domain registration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6,500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0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+LKR 6,500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Deployed on secure, production-grade Netlify subdomains for evaluation.</w:t>
            </w:r>
          </w:p>
        </w:tc>
      </w:tr>
      <w:tr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UI/UX Design Platform (Figma)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Collaborative wireframing, component library, and design tokens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18,000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0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+LKR 18,000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Figma Education Free Plan with full team sharing and view permissions.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Project Management Tool (Jira Cloud)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Agile sprint tracking, Kanban board, WBS issue management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20,000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0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+LKR 20,000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Atlassian Jira Cloud Free Tier (up to 10 users).</w:t>
            </w:r>
          </w:p>
        </w:tc>
      </w:tr>
      <w:tr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Source Control &amp; CI/CD (GitHub)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Monorepo hosting, PR code reviews, and issue tracker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12,000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0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+LKR 12,000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GitHub Academic Free Tier with automated GitHub Actions.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Hardware Workstations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5 Developer laptops (Intel Core i5/i7, 16GB RAM)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0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0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0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Existing personal student computing hardware; zero incremental CAPEX.</w:t>
            </w:r>
          </w:p>
        </w:tc>
      </w:tr>
      <w:tr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TOTAL PROJECT BUDGET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Comprehensive Full-Stack Development Budget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861,500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720,000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+LKR 141,500 (16.4% Savings)</w:t>
            </w:r>
          </w:p>
        </w:tc>
        <w:tc>
          <w:tcPr>
            <w:tcW w:type="dxa" w:w="156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Lean Free-Tier Cloud Architecture &amp; Zero-Cost Tool Optimization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721F3A"/>
          <w:sz w:val="28"/>
        </w:rPr>
        <w:t>3. Human Resource Effort Breakdown by Role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Team Member</w:t>
            </w:r>
          </w:p>
        </w:tc>
        <w:tc>
          <w:tcPr>
            <w:tcW w:type="dxa" w:w="1872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SDLC Role</w:t>
            </w:r>
          </w:p>
        </w:tc>
        <w:tc>
          <w:tcPr>
            <w:tcW w:type="dxa" w:w="1872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Estimated Effort</w:t>
            </w:r>
          </w:p>
        </w:tc>
        <w:tc>
          <w:tcPr>
            <w:tcW w:type="dxa" w:w="1872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Rate (LKR/hr)</w:t>
            </w:r>
          </w:p>
        </w:tc>
        <w:tc>
          <w:tcPr>
            <w:tcW w:type="dxa" w:w="1872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Total Human Resource Cost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M.S. Ranasinghe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Project Manager &amp; Full-Stack / DevOps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105 hours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1,500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157,500</w:t>
            </w:r>
          </w:p>
        </w:tc>
      </w:tr>
      <w:tr>
        <w:tc>
          <w:tcPr>
            <w:tcW w:type="dxa" w:w="1872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S.A.A. Lakmal</w:t>
            </w:r>
          </w:p>
        </w:tc>
        <w:tc>
          <w:tcPr>
            <w:tcW w:type="dxa" w:w="1872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Backend Lead Developer (Spring Boot)</w:t>
            </w:r>
          </w:p>
        </w:tc>
        <w:tc>
          <w:tcPr>
            <w:tcW w:type="dxa" w:w="1872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100 hours</w:t>
            </w:r>
          </w:p>
        </w:tc>
        <w:tc>
          <w:tcPr>
            <w:tcW w:type="dxa" w:w="1872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1,500</w:t>
            </w:r>
          </w:p>
        </w:tc>
        <w:tc>
          <w:tcPr>
            <w:tcW w:type="dxa" w:w="1872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150,000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A.G.D.N. Ranathunga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UI/UX Lead &amp; Frontend Developer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95 hours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1,500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142,500</w:t>
            </w:r>
          </w:p>
        </w:tc>
      </w:tr>
      <w:tr>
        <w:tc>
          <w:tcPr>
            <w:tcW w:type="dxa" w:w="1872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K.A.R.D. Sammani</w:t>
            </w:r>
          </w:p>
        </w:tc>
        <w:tc>
          <w:tcPr>
            <w:tcW w:type="dxa" w:w="1872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Database Engineer &amp; Business Analyst</w:t>
            </w:r>
          </w:p>
        </w:tc>
        <w:tc>
          <w:tcPr>
            <w:tcW w:type="dxa" w:w="1872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90 hours</w:t>
            </w:r>
          </w:p>
        </w:tc>
        <w:tc>
          <w:tcPr>
            <w:tcW w:type="dxa" w:w="1872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1,500</w:t>
            </w:r>
          </w:p>
        </w:tc>
        <w:tc>
          <w:tcPr>
            <w:tcW w:type="dxa" w:w="1872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135,000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V.G. Ruchira Nimnaka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Quality Assurance Lead Engineer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90 hours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1,500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135,000</w:t>
            </w:r>
          </w:p>
        </w:tc>
      </w:tr>
      <w:tr>
        <w:tc>
          <w:tcPr>
            <w:tcW w:type="dxa" w:w="1872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Total Human Resource Effort</w:t>
            </w:r>
          </w:p>
        </w:tc>
        <w:tc>
          <w:tcPr>
            <w:tcW w:type="dxa" w:w="1872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Full Team Allocation</w:t>
            </w:r>
          </w:p>
        </w:tc>
        <w:tc>
          <w:tcPr>
            <w:tcW w:type="dxa" w:w="1872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480 hours</w:t>
            </w:r>
          </w:p>
        </w:tc>
        <w:tc>
          <w:tcPr>
            <w:tcW w:type="dxa" w:w="1872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1,500</w:t>
            </w:r>
          </w:p>
        </w:tc>
        <w:tc>
          <w:tcPr>
            <w:tcW w:type="dxa" w:w="1872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LKR 720,000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721F3A"/>
          <w:sz w:val="28"/>
        </w:rPr>
        <w:t>4. Business &amp; Commercialization Model</w:t>
      </w:r>
    </w:p>
    <w:p>
      <w:pPr>
        <w:spacing w:before="80" w:after="120"/>
        <w:ind w:left="288"/>
      </w:pPr>
      <w:r>
        <w:rPr>
          <w:rFonts w:ascii="Consolas" w:hAnsi="Consolas"/>
          <w:color w:val="333333"/>
          <w:sz w:val="17"/>
        </w:rPr>
        <w:t>graph TD</w:t>
        <w:br/>
        <w:t xml:space="preserve">    subgraph RevenueStreams[MagulaPlan Sustainable Revenue Streams]</w:t>
        <w:br/>
        <w:t xml:space="preserve">        R1[1. Freemium Vendor Subscriptions&lt;br&gt;LKR 2,500 - 5,000 / month for Verified &amp; Featured Badges]</w:t>
        <w:br/>
        <w:t xml:space="preserve">        R2[2. Vendor Booking Commission&lt;br&gt;2.5% - 5.0% on Confirmed Customer Bookings]</w:t>
        <w:br/>
        <w:t xml:space="preserve">        R3[3. Category Sponsorships &amp; Banners&lt;br&gt;Premium Placements for Top Luxury Venues &amp; Salons]</w:t>
        <w:br/>
        <w:t xml:space="preserve">    end</w:t>
        <w:br/>
        <w:br/>
        <w:t xml:space="preserve">    subgraph CostStructure[Operational Cost Structure]</w:t>
        <w:br/>
        <w:t xml:space="preserve">        C1[Cloud Infrastructure &amp; Database Scaling]</w:t>
        <w:br/>
        <w:t xml:space="preserve">        C2[SMS Gateway &amp; Automated Notifications]</w:t>
        <w:br/>
        <w:t xml:space="preserve">        C3[Continuous Customer Support &amp; Vendor Verification]</w:t>
        <w:br/>
        <w:t xml:space="preserve">    end</w:t>
        <w:br/>
        <w:br/>
        <w:t xml:space="preserve">    RevenueStreams --&gt;|Net Operating Profit| Profit[Self-Sustaining Commercial Platform]</w:t>
        <w:br/>
        <w:t xml:space="preserve">    CostStructure --&gt;|Operational Expenses| Profit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1. Freemium Vendor Subscriptions: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Free Tier: Basic business listing in directory with standard search appearance.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Pro Tier (LKR 2,500/month): Verified checkmark badge, customer inquiry analytics, contact number priority.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Featured Tier (LKR 5,000/month): Top-of-category placement, featured badge, highlighted card on landing page.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2. Booking Commission / Lead Generation: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- 2.5% to 5.0% commission charged to vendors upon successful booking confirmation facilitated through the platform cart.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3. Category Sponsorships: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Sponsored banner placement for premier luxury hotels and wedding decor companies.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