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Playfair Display" w:hAnsi="Playfair Display"/>
          <w:b/>
          <w:color w:val="721F3A"/>
          <w:sz w:val="44"/>
        </w:rPr>
        <w:t>MagulaPlan (Magula.lk) — Cost Estimation, Budget &amp; Business Model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1. Cost Estimation &amp; Budget Overview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In accordance with academic project management guidelines (</w:t>
      </w:r>
      <w:r>
        <w:rPr>
          <w:rFonts w:ascii="Segoe UI" w:hAnsi="Segoe UI"/>
          <w:b/>
          <w:color w:val="222222"/>
          <w:sz w:val="19"/>
        </w:rPr>
        <w:t>Section 1.4: Cost Estimation</w:t>
      </w:r>
      <w:r>
        <w:rPr>
          <w:rFonts w:ascii="Segoe UI" w:hAnsi="Segoe UI"/>
          <w:color w:val="222222"/>
          <w:sz w:val="19"/>
        </w:rPr>
        <w:t xml:space="preserve">), this document establishes the planned and actual costs across </w:t>
      </w:r>
      <w:r>
        <w:rPr>
          <w:rFonts w:ascii="Segoe UI" w:hAnsi="Segoe UI"/>
          <w:b/>
          <w:color w:val="222222"/>
          <w:sz w:val="19"/>
        </w:rPr>
        <w:t>Software</w:t>
      </w:r>
      <w:r>
        <w:rPr>
          <w:rFonts w:ascii="Segoe UI" w:hAnsi="Segoe UI"/>
          <w:color w:val="222222"/>
          <w:sz w:val="19"/>
        </w:rPr>
        <w:t xml:space="preserve">, </w:t>
      </w:r>
      <w:r>
        <w:rPr>
          <w:rFonts w:ascii="Segoe UI" w:hAnsi="Segoe UI"/>
          <w:b/>
          <w:color w:val="222222"/>
          <w:sz w:val="19"/>
        </w:rPr>
        <w:t>Cloud Infrastructure</w:t>
      </w:r>
      <w:r>
        <w:rPr>
          <w:rFonts w:ascii="Segoe UI" w:hAnsi="Segoe UI"/>
          <w:color w:val="222222"/>
          <w:sz w:val="19"/>
        </w:rPr>
        <w:t xml:space="preserve">, </w:t>
      </w:r>
      <w:r>
        <w:rPr>
          <w:rFonts w:ascii="Segoe UI" w:hAnsi="Segoe UI"/>
          <w:b/>
          <w:color w:val="222222"/>
          <w:sz w:val="19"/>
        </w:rPr>
        <w:t>Hardware Workstations</w:t>
      </w:r>
      <w:r>
        <w:rPr>
          <w:rFonts w:ascii="Segoe UI" w:hAnsi="Segoe UI"/>
          <w:color w:val="222222"/>
          <w:sz w:val="19"/>
        </w:rPr>
        <w:t xml:space="preserve">, and </w:t>
      </w:r>
      <w:r>
        <w:rPr>
          <w:rFonts w:ascii="Segoe UI" w:hAnsi="Segoe UI"/>
          <w:b/>
          <w:color w:val="222222"/>
          <w:sz w:val="19"/>
        </w:rPr>
        <w:t>Human Resources</w:t>
      </w:r>
      <w:r>
        <w:rPr>
          <w:rFonts w:ascii="Segoe UI" w:hAnsi="Segoe UI"/>
          <w:color w:val="222222"/>
          <w:sz w:val="19"/>
        </w:rPr>
        <w:t>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2. Planned vs. Actual Budget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Resource Category / Item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Description &amp; Purpose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Planned Budget (LKR)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Actual Budget (LKR)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Variance (Savings)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Optimization Strategy &amp; Justification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**Human Resources (5 Engineers)**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480 person-hours across Project Management, Backend, Frontend, Database, and QA Engineering (@ LKR 1,500/hr market rate)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720,000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720,000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Internal student engineering team allocation; 100% effort accounted.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**Backend Cloud Hosting (Render)**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Spring Boot 4.1 REST API container runtime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25,000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+LKR 25,000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Leveraged Render Free Web Service tier with health-check keep-alive scripts.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**Frontend CDN Hosting (Netlify / InfinityFree)**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React 19 SPA static web asset distribution &amp; edge routing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15,000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+LKR 15,000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Leveraged Netlify Global Free Tier &amp; InfinityFree unlimited bandwidth storage.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**Managed Relational Database (Aiven MySQL)**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MySQL 8.4 transactional database with TLS/SSL encryption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45,000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+LKR 45,000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Utilized Aiven Cloud Free Tier for academic evaluation and schema verification.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**Domain Name &amp; DNS (magulaplan.lk)**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Custom top-level domain registration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6,500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+LKR 6,500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Deployed on secure, production-grade Netlify subdomains for evaluation.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**UI/UX Design Platform (Figma)**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Collaborative wireframing, component library, and design tokens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18,000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+LKR 18,000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Figma Education Free Plan with full team sharing and view permissions.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**Project Management Tool (Jira Cloud)**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Agile sprint tracking, Kanban board, WBS issue management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20,000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+LKR 20,000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Atlassian Jira Cloud Free Tier (up to 10 users).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**Source Control &amp; CI/CD (GitHub)**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Monorepo hosting, PR code reviews, and issue tracker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12,000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+LKR 12,000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GitHub Academic Free Tier with automated GitHub Actions.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**Hardware Workstations**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5 Developer laptops (Intel Core i5/i7, 16GB RAM)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0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Existing personal student computing hardware; zero incremental CAPEX.</w:t>
            </w:r>
          </w:p>
        </w:tc>
      </w:tr>
      <w:tr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**TOTAL PROJECT BUDGET**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**Comprehensive Full-Stack Development Budget**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**LKR 861,500**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**LKR 720,000**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**+LKR 141,500 (16.4% Savings)**</w:t>
            </w:r>
          </w:p>
        </w:tc>
        <w:tc>
          <w:tcPr>
            <w:tcW w:type="dxa" w:w="1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**Lean Free-Tier Cloud Architecture &amp; Zero-Cost Tool Optimization**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3. Human Resource Effort Breakdown by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SDLC Role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Estimated Effort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Rate (LKR/hr)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Total Human Resource Cost</w:t>
            </w:r>
          </w:p>
        </w:tc>
      </w:tr>
      <w:tr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**M.S. Ranasinghe**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Project Manager &amp; Full-Stack / DevOps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105 hours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1,500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157,500</w:t>
            </w:r>
          </w:p>
        </w:tc>
      </w:tr>
      <w:tr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**S.A.A. Lakmal**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Backend Lead Developer (Spring Boot)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100 hours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1,500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150,000</w:t>
            </w:r>
          </w:p>
        </w:tc>
      </w:tr>
      <w:tr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**A.G.D.N. Ranathunga**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UI/UX Lead &amp; Frontend Developer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95 hours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1,500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142,500</w:t>
            </w:r>
          </w:p>
        </w:tc>
      </w:tr>
      <w:tr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**K.A.R.D. Sammani**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Database Engineer &amp; Business Analyst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90 hours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1,500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LKR 135,000</w:t>
            </w:r>
          </w:p>
        </w:tc>
      </w:tr>
      <w:tr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**V.G. Ruchira Nimnaka**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Quality Assurance Lead Engineer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90 hours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1,500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LKR 135,000</w:t>
            </w:r>
          </w:p>
        </w:tc>
      </w:tr>
      <w:tr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**Total Human Resource Effort**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**Full Team Allocation**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**480 hours**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**LKR 1,500**</w:t>
            </w:r>
          </w:p>
        </w:tc>
        <w:tc>
          <w:tcPr>
            <w:tcW w:type="dxa" w:w="193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**LKR 720,000**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4. Business &amp; Commercialization Model</w:t>
      </w:r>
    </w:p>
    <w:p>
      <w:pPr>
        <w:spacing w:before="80" w:after="80"/>
        <w:ind w:left="288"/>
      </w:pPr>
      <w:r>
        <w:rPr>
          <w:rFonts w:ascii="Consolas" w:hAnsi="Consolas"/>
          <w:color w:val="333333"/>
          <w:sz w:val="17"/>
        </w:rPr>
        <w:t>graph TD</w:t>
        <w:br/>
        <w:t xml:space="preserve">    subgraph RevenueStreams[MagulaPlan Sustainable Revenue Streams]</w:t>
        <w:br/>
        <w:t xml:space="preserve">        R1[1. Freemium Vendor Subscriptions&lt;br&gt;LKR 2,500 - 5,000 / month for Verified &amp; Featured Badges]</w:t>
        <w:br/>
        <w:t xml:space="preserve">        R2[2. Vendor Booking Commission&lt;br&gt;2.5% - 5.0% on Confirmed Customer Bookings]</w:t>
        <w:br/>
        <w:t xml:space="preserve">        R3[3. Category Sponsorships &amp; Banners&lt;br&gt;Premium Placements for Top Luxury Venues &amp; Salons]</w:t>
        <w:br/>
        <w:t xml:space="preserve">    end</w:t>
        <w:br/>
        <w:br/>
        <w:t xml:space="preserve">    subgraph CostStructure[Operational Cost Structure]</w:t>
        <w:br/>
        <w:t xml:space="preserve">        C1[Cloud Infrastructure &amp; Database Scaling]</w:t>
        <w:br/>
        <w:t xml:space="preserve">        C2[SMS Gateway &amp; Automated Notifications]</w:t>
        <w:br/>
        <w:t xml:space="preserve">        C3[Continuous Customer Support &amp; Vendor Verification]</w:t>
        <w:br/>
        <w:t xml:space="preserve">    end</w:t>
        <w:br/>
        <w:br/>
        <w:t xml:space="preserve">    RevenueStreams --&gt;|Net Operating Profit| Profit[Self-Sustaining Commercial Platform]</w:t>
        <w:br/>
        <w:t xml:space="preserve">    CostStructure --&gt;|Operational Expenses| Profit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1. </w:t>
      </w:r>
      <w:r>
        <w:rPr>
          <w:rFonts w:ascii="Segoe UI" w:hAnsi="Segoe UI"/>
          <w:b/>
          <w:color w:val="222222"/>
          <w:sz w:val="19"/>
        </w:rPr>
        <w:t>Freemium Vendor Subscriptions (Implemented &amp; Demonstrable):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- </w:t>
      </w:r>
      <w:r>
        <w:rPr>
          <w:rFonts w:ascii="Segoe UI" w:hAnsi="Segoe UI"/>
          <w:b/>
          <w:color w:val="222222"/>
          <w:sz w:val="19"/>
        </w:rPr>
        <w:t>Free Tier (LKR 0/month):</w:t>
      </w:r>
      <w:r>
        <w:rPr>
          <w:rFonts w:ascii="Segoe UI" w:hAnsi="Segoe UI"/>
          <w:color w:val="222222"/>
          <w:sz w:val="19"/>
        </w:rPr>
        <w:t xml:space="preserve"> Basic business listing in public directory, standard search appearance, and customer inquiry reception.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- </w:t>
      </w:r>
      <w:r>
        <w:rPr>
          <w:rFonts w:ascii="Segoe UI" w:hAnsi="Segoe UI"/>
          <w:b/>
          <w:color w:val="222222"/>
          <w:sz w:val="19"/>
        </w:rPr>
        <w:t>Pro Tier (LKR 2,500/month):</w:t>
      </w:r>
      <w:r>
        <w:rPr>
          <w:rFonts w:ascii="Segoe UI" w:hAnsi="Segoe UI"/>
          <w:color w:val="222222"/>
          <w:sz w:val="19"/>
        </w:rPr>
        <w:t xml:space="preserve"> Verified Blue Checkmark badge, customer inquiry analytics, contact number priority, and lead tracking.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- </w:t>
      </w:r>
      <w:r>
        <w:rPr>
          <w:rFonts w:ascii="Segoe UI" w:hAnsi="Segoe UI"/>
          <w:b/>
          <w:color w:val="222222"/>
          <w:sz w:val="19"/>
        </w:rPr>
        <w:t>Featured Tier (LKR 5,000/month):</w:t>
      </w:r>
      <w:r>
        <w:rPr>
          <w:rFonts w:ascii="Segoe UI" w:hAnsi="Segoe UI"/>
          <w:color w:val="222222"/>
          <w:sz w:val="19"/>
        </w:rPr>
        <w:t xml:space="preserve"> Top-of-category placement, Gold Featured card badge, landing page showcase highlight, and verified checkmark.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- *Implementation Note:* In the current software release, the commercial subscription selection, payment verification, and badge provisioning workflow is fully implemented via an interactive </w:t>
      </w:r>
      <w:r>
        <w:rPr>
          <w:rFonts w:ascii="Segoe UI" w:hAnsi="Segoe UI"/>
          <w:b/>
          <w:color w:val="222222"/>
          <w:sz w:val="19"/>
        </w:rPr>
        <w:t>Simulated Payment Sandbox Gateway</w:t>
      </w:r>
      <w:r>
        <w:rPr>
          <w:rFonts w:ascii="Segoe UI" w:hAnsi="Segoe UI"/>
          <w:color w:val="222222"/>
          <w:sz w:val="19"/>
        </w:rPr>
        <w:t xml:space="preserve"> (`/vendors/new` and `/vendor/dashboard`), enabling full evaluation of the monetization pipeline without live credit card merchant fees.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2. </w:t>
      </w:r>
      <w:r>
        <w:rPr>
          <w:rFonts w:ascii="Segoe UI" w:hAnsi="Segoe UI"/>
          <w:b/>
          <w:color w:val="222222"/>
          <w:sz w:val="19"/>
        </w:rPr>
        <w:t>Booking Commission / Lead Generation: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- 2.5% to 5.0% commission charged to vendors upon successful booking confirmation facilitated through the multi-vendor selection cart.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3. </w:t>
      </w:r>
      <w:r>
        <w:rPr>
          <w:rFonts w:ascii="Segoe UI" w:hAnsi="Segoe UI"/>
          <w:b/>
          <w:color w:val="222222"/>
          <w:sz w:val="19"/>
        </w:rPr>
        <w:t>Category Sponsorships: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Sponsored banner placement for premier luxury hotels and wedding decor companies.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