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Playfair Display" w:hAnsi="Playfair Display"/>
          <w:b/>
          <w:color w:val="721F3A"/>
          <w:sz w:val="44"/>
        </w:rPr>
        <w:t>MagulaPlan (Magula.lk) — Risk Management &amp; Mitigation Plan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1. Risk Management Framework</w:t>
      </w:r>
    </w:p>
    <w:p>
      <w:pPr>
        <w:spacing w:after="80"/>
      </w:pPr>
      <w:r>
        <w:rPr>
          <w:rFonts w:ascii="Segoe UI" w:hAnsi="Segoe UI"/>
          <w:color w:val="222222"/>
          <w:sz w:val="19"/>
        </w:rPr>
        <w:t>In accordance with academic project management guidelines (</w:t>
      </w:r>
      <w:r>
        <w:rPr>
          <w:rFonts w:ascii="Segoe UI" w:hAnsi="Segoe UI"/>
          <w:b/>
          <w:color w:val="222222"/>
          <w:sz w:val="19"/>
        </w:rPr>
        <w:t>Section 1.3: Risk Assessment and Mitigation Strategies</w:t>
      </w:r>
      <w:r>
        <w:rPr>
          <w:rFonts w:ascii="Segoe UI" w:hAnsi="Segoe UI"/>
          <w:color w:val="222222"/>
          <w:sz w:val="19"/>
        </w:rPr>
        <w:t>), this document details the risk identification, qualitative risk scoring, and proactive mitigation strategies executed during the MagulaPlan project.</w:t>
      </w:r>
    </w:p>
    <w:p>
      <w:pPr>
        <w:spacing w:before="120" w:after="120"/>
      </w:pPr>
      <w:r>
        <w:rPr>
          <w:color w:val="EEDDE0"/>
        </w:rPr>
        <w:t>__________________________________________________________________________</w:t>
      </w:r>
    </w:p>
    <w:p>
      <w:pPr>
        <w:spacing w:before="240" w:after="80"/>
      </w:pPr>
      <w:r>
        <w:rPr>
          <w:rFonts w:ascii="Playfair Display" w:hAnsi="Playfair Display"/>
          <w:b/>
          <w:color w:val="721F3A"/>
          <w:sz w:val="30"/>
        </w:rPr>
        <w:t>2. Risk Assessment Matrix</w:t>
      </w:r>
    </w:p>
    <w:p>
      <w:pPr>
        <w:spacing w:before="80" w:after="80"/>
        <w:ind w:left="288"/>
      </w:pPr>
      <w:r>
        <w:rPr>
          <w:rFonts w:ascii="Consolas" w:hAnsi="Consolas"/>
          <w:color w:val="333333"/>
          <w:sz w:val="17"/>
        </w:rPr>
        <w:t>quadrantChart</w:t>
        <w:br/>
        <w:t xml:space="preserve">    title Risk Assessment Matrix (Likelihood vs. Impact)</w:t>
        <w:br/>
        <w:t xml:space="preserve">    x-axis Low Likelihood --&gt; High Likelihood</w:t>
        <w:br/>
        <w:t xml:space="preserve">    y-axis Low Impact --&gt; High Impact</w:t>
        <w:br/>
        <w:t xml:space="preserve">    quadrant-1 High Priority / Immediate Action</w:t>
        <w:br/>
        <w:t xml:space="preserve">    quadrant-2 Moderate Priority / Contingency Plan</w:t>
        <w:br/>
        <w:t xml:space="preserve">    quadrant-3 Low Priority / Monitor</w:t>
        <w:br/>
        <w:t xml:space="preserve">    quadrant-4 Medium Priority / Proactive Control</w:t>
        <w:br/>
        <w:t xml:space="preserve">    "Meta WhatsApp API Fees (RSK-01)": [0.85, 0.85]</w:t>
        <w:br/>
        <w:t xml:space="preserve">    "Cloud DB Inactivity Sleep (RSK-02)": [0.65, 0.75]</w:t>
        <w:br/>
        <w:t xml:space="preserve">    "Plaintext Password Risk (RSK-03)": [0.45, 0.95]</w:t>
        <w:br/>
        <w:t xml:space="preserve">    "E-Commerce Scope Creep (RSK-04)": [0.75, 0.60]</w:t>
        <w:br/>
        <w:t xml:space="preserve">    "Commit-Only Mark Skew (RSK-05)": [0.70, 0.80]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