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color w:val="173B2E"/>
          <w:sz w:val="36"/>
        </w:rPr>
        <w:t>USER INTERFACE AND USER EXPERIENCE DESIGN</w:t>
      </w:r>
    </w:p>
    <w:p>
      <w:pPr>
        <w:spacing w:before="0" w:after="240" w:line="276" w:lineRule="auto"/>
      </w:pPr>
      <w:r>
        <w:rPr>
          <w:rFonts w:ascii="Calibri" w:hAnsi="Calibri"/>
          <w:b/>
          <w:color w:val="C7A45D"/>
          <w:sz w:val="28"/>
        </w:rPr>
        <w:t>LAB ASSIGNMENT NO: 6</w:t>
        <w:br/>
        <w:t>Remote Usability Testing of Figma Prototype using Maze</w:t>
      </w:r>
    </w:p>
    <w:tbl>
      <w:tblPr>
        <w:tblW w:type="auto" w:w="0"/>
        <w:jc w:val="center"/>
        <w:tblLook w:firstColumn="1" w:firstRow="1" w:lastColumn="0" w:lastRow="0" w:noHBand="0" w:noVBand="1" w:val="04A0"/>
      </w:tblPr>
      <w:tblGrid>
        <w:gridCol w:w="4320"/>
        <w:gridCol w:w="4320"/>
      </w:tblGrid>
      <w:tr>
        <w:tc>
          <w:tcPr>
            <w:tcW w:type="dxa" w:w="3168"/>
            <w:shd w:fill="F4EBDD" w:val="clear"/>
            <w:tcMar>
              <w:top w:w="80" w:type="dxa"/>
              <w:bottom w:w="80" w:type="dxa"/>
              <w:left w:w="100" w:type="dxa"/>
              <w:right w:w="100" w:type="dxa"/>
            </w:tcMar>
          </w:tcPr>
          <w:p>
            <w:pPr>
              <w:spacing w:before="20" w:after="20" w:line="276" w:lineRule="auto"/>
            </w:pPr>
            <w:r>
              <w:rPr>
                <w:rFonts w:ascii="Calibri" w:hAnsi="Calibri"/>
                <w:b/>
                <w:color w:val="173B2E"/>
                <w:sz w:val="19"/>
              </w:rPr>
              <w:t>Student Name</w:t>
            </w:r>
          </w:p>
        </w:tc>
        <w:tc>
          <w:tcPr>
            <w:tcW w:type="dxa" w:w="6192"/>
            <w:shd w:fill="F4EBDD" w:val="clear"/>
            <w:tcMar>
              <w:top w:w="80" w:type="dxa"/>
              <w:bottom w:w="80" w:type="dxa"/>
              <w:left w:w="100" w:type="dxa"/>
              <w:right w:w="100" w:type="dxa"/>
            </w:tcMar>
          </w:tcPr>
          <w:p>
            <w:pPr>
              <w:spacing w:before="20" w:after="20" w:line="276" w:lineRule="auto"/>
            </w:pPr>
            <w:r>
              <w:rPr>
                <w:rFonts w:ascii="Calibri" w:hAnsi="Calibri"/>
                <w:b w:val="0"/>
                <w:color w:val="242720"/>
                <w:sz w:val="19"/>
              </w:rPr>
              <w:t>Mahek Katharotiya</w:t>
            </w:r>
          </w:p>
        </w:tc>
      </w:tr>
      <w:tr>
        <w:tc>
          <w:tcPr>
            <w:tcW w:type="dxa" w:w="3168"/>
            <w:shd w:fill="F8F5EE" w:val="clear"/>
            <w:tcMar>
              <w:top w:w="80" w:type="dxa"/>
              <w:bottom w:w="80" w:type="dxa"/>
              <w:left w:w="100" w:type="dxa"/>
              <w:right w:w="100" w:type="dxa"/>
            </w:tcMar>
          </w:tcPr>
          <w:p>
            <w:pPr>
              <w:spacing w:before="20" w:after="20" w:line="276" w:lineRule="auto"/>
            </w:pPr>
            <w:r>
              <w:rPr>
                <w:rFonts w:ascii="Calibri" w:hAnsi="Calibri"/>
                <w:b/>
                <w:color w:val="173B2E"/>
                <w:sz w:val="19"/>
              </w:rPr>
              <w:t>PRN / Roll No / Panel</w:t>
            </w:r>
          </w:p>
        </w:tc>
        <w:tc>
          <w:tcPr>
            <w:tcW w:type="dxa" w:w="6192"/>
            <w:shd w:fill="F8F5EE" w:val="clear"/>
            <w:tcMar>
              <w:top w:w="80" w:type="dxa"/>
              <w:bottom w:w="80" w:type="dxa"/>
              <w:left w:w="100" w:type="dxa"/>
              <w:right w:w="100" w:type="dxa"/>
            </w:tcMar>
          </w:tcPr>
          <w:p>
            <w:pPr>
              <w:spacing w:before="20" w:after="20" w:line="276" w:lineRule="auto"/>
            </w:pPr>
            <w:r>
              <w:rPr>
                <w:rFonts w:ascii="Calibri" w:hAnsi="Calibri"/>
                <w:b w:val="0"/>
                <w:color w:val="242720"/>
                <w:sz w:val="19"/>
              </w:rPr>
              <w:t>1262242460 / Roll No. 12 / Panel F</w:t>
            </w:r>
          </w:p>
        </w:tc>
      </w:tr>
      <w:tr>
        <w:tc>
          <w:tcPr>
            <w:tcW w:type="dxa" w:w="3168"/>
            <w:shd w:fill="F4EBDD" w:val="clear"/>
            <w:tcMar>
              <w:top w:w="80" w:type="dxa"/>
              <w:bottom w:w="80" w:type="dxa"/>
              <w:left w:w="100" w:type="dxa"/>
              <w:right w:w="100" w:type="dxa"/>
            </w:tcMar>
          </w:tcPr>
          <w:p>
            <w:pPr>
              <w:spacing w:before="20" w:after="20" w:line="276" w:lineRule="auto"/>
            </w:pPr>
            <w:r>
              <w:rPr>
                <w:rFonts w:ascii="Calibri" w:hAnsi="Calibri"/>
                <w:b/>
                <w:color w:val="173B2E"/>
                <w:sz w:val="19"/>
              </w:rPr>
              <w:t>Evaluated Project</w:t>
            </w:r>
          </w:p>
        </w:tc>
        <w:tc>
          <w:tcPr>
            <w:tcW w:type="dxa" w:w="6192"/>
            <w:shd w:fill="F4EBDD" w:val="clear"/>
            <w:tcMar>
              <w:top w:w="80" w:type="dxa"/>
              <w:bottom w:w="80" w:type="dxa"/>
              <w:left w:w="100" w:type="dxa"/>
              <w:right w:w="100" w:type="dxa"/>
            </w:tcMar>
          </w:tcPr>
          <w:p>
            <w:pPr>
              <w:spacing w:before="20" w:after="20" w:line="276" w:lineRule="auto"/>
            </w:pPr>
            <w:r>
              <w:rPr>
                <w:rFonts w:ascii="Calibri" w:hAnsi="Calibri"/>
                <w:b w:val="0"/>
                <w:color w:val="242720"/>
                <w:sz w:val="19"/>
              </w:rPr>
              <w:t>AURELLE Luxury Jewellery E-Commerce Platform (Figma Web &amp; Mobile App)</w:t>
            </w:r>
          </w:p>
        </w:tc>
      </w:tr>
    </w:tbl>
    <w:p/>
    <w:p>
      <w:pPr>
        <w:pStyle w:val="Heading1"/>
        <w:spacing w:before="240" w:after="120" w:line="276" w:lineRule="auto"/>
      </w:pPr>
      <w:r>
        <w:rPr>
          <w:rFonts w:ascii="Calibri" w:hAnsi="Calibri"/>
          <w:b/>
          <w:color w:val="173B2E"/>
          <w:sz w:val="32"/>
        </w:rPr>
        <w:t>1. Aim &amp; Problem Statement</w:t>
      </w:r>
    </w:p>
    <w:p>
      <w:pPr>
        <w:spacing w:before="40" w:after="120" w:line="276" w:lineRule="auto"/>
      </w:pPr>
      <w:r>
        <w:rPr>
          <w:b/>
        </w:rPr>
        <w:t xml:space="preserve">Aim: </w:t>
      </w:r>
      <w:r>
        <w:t>To study and execute un-moderated remote usability testing of the high-fidelity Figma prototype for the AURELLE Luxury Jewellery E-Commerce Platform using the specialized remote testing tool Maze.</w:t>
      </w:r>
    </w:p>
    <w:p>
      <w:pPr>
        <w:spacing w:before="40" w:after="120" w:line="276" w:lineRule="auto"/>
      </w:pPr>
      <w:r>
        <w:rPr>
          <w:b/>
        </w:rPr>
        <w:t xml:space="preserve">Problem Statement: </w:t>
      </w:r>
      <w:r>
        <w:t>Digital jewellery shopping involves high emotional and financial stakes, where complex navigation, hidden costs, and unclear sizing create friction and cart abandonment. To validate the AURELLE user interface designed in Figma, un-moderated remote testing must be conducted using Maze to measure quantitative metrics (task success rate, misclick rate, average duration) and identify visual interaction hotspots without requiring code implementation or moderator intervention.</w:t>
      </w:r>
    </w:p>
    <w:p>
      <w:pPr>
        <w:pStyle w:val="Heading1"/>
        <w:spacing w:before="240" w:after="120" w:line="276" w:lineRule="auto"/>
      </w:pPr>
      <w:r>
        <w:rPr>
          <w:rFonts w:ascii="Calibri" w:hAnsi="Calibri"/>
          <w:b/>
          <w:color w:val="173B2E"/>
          <w:sz w:val="32"/>
        </w:rPr>
        <w:t>2. Theoretical Background of Maze Remote Testing</w:t>
      </w:r>
    </w:p>
    <w:p>
      <w:pPr>
        <w:spacing w:before="40" w:after="120" w:line="276" w:lineRule="auto"/>
      </w:pPr>
      <w:r>
        <w:t>Maze is a leading un-moderated remote user testing platform designed to evaluate interactive Figma prototypes with real participants. Because the AURELLE platform was architected entirely in Figma, Maze imports the prototype directly via an open share link, eliminating the need for embedded tracking scripts or code deployment. Participants receive a web link, complete targeted missions independently, and generate real-time quantitative reports and visual heatmaps.</w:t>
      </w:r>
    </w:p>
    <w:p>
      <w:pPr>
        <w:pStyle w:val="Heading2"/>
        <w:spacing w:before="200" w:after="80" w:line="276" w:lineRule="auto"/>
      </w:pPr>
      <w:r>
        <w:rPr>
          <w:rFonts w:ascii="Calibri" w:hAnsi="Calibri"/>
          <w:b/>
          <w:color w:val="C7A45D"/>
          <w:sz w:val="26"/>
        </w:rPr>
        <w:t>Core Technical Features &amp; Capabilities of Maze</w:t>
      </w:r>
    </w:p>
    <w:p>
      <w:pPr>
        <w:pStyle w:val="ListBullet"/>
        <w:spacing w:before="20" w:after="60" w:line="276" w:lineRule="auto"/>
      </w:pPr>
      <w:r>
        <w:rPr>
          <w:b/>
          <w:color w:val="173B2E"/>
        </w:rPr>
        <w:t xml:space="preserve">Direct Figma Integration: </w:t>
      </w:r>
      <w:r>
        <w:t>Seamlessly syncs frames, hotspot interactions, component states, and slide-out drawers directly from Figma.</w:t>
      </w:r>
    </w:p>
    <w:p>
      <w:pPr>
        <w:pStyle w:val="ListBullet"/>
        <w:spacing w:before="20" w:after="60" w:line="276" w:lineRule="auto"/>
      </w:pPr>
      <w:r>
        <w:rPr>
          <w:b/>
          <w:color w:val="173B2E"/>
        </w:rPr>
        <w:t xml:space="preserve">Mission-Based Task Evaluation: </w:t>
      </w:r>
      <w:r>
        <w:t>Presents clear, goal-driven user scenarios (missions) accompanied by pre- and post-test questionnaire blocks.</w:t>
      </w:r>
    </w:p>
    <w:p>
      <w:pPr>
        <w:pStyle w:val="ListBullet"/>
        <w:spacing w:before="20" w:after="60" w:line="276" w:lineRule="auto"/>
      </w:pPr>
      <w:r>
        <w:rPr>
          <w:b/>
          <w:color w:val="173B2E"/>
        </w:rPr>
        <w:t xml:space="preserve">Quantitative Metric Tracking: </w:t>
      </w:r>
      <w:r>
        <w:t>Automatically records Direct Success Rate (%), Indirect Success Rate (%), Misclick Rate (%), and Average Completion Duration (seconds).</w:t>
      </w:r>
    </w:p>
    <w:p>
      <w:pPr>
        <w:pStyle w:val="ListBullet"/>
        <w:spacing w:before="20" w:after="60" w:line="276" w:lineRule="auto"/>
      </w:pPr>
      <w:r>
        <w:rPr>
          <w:b/>
          <w:color w:val="173B2E"/>
        </w:rPr>
        <w:t xml:space="preserve">Visual Screen Heatmaps: </w:t>
      </w:r>
      <w:r>
        <w:t>Generates aggregated click and tap hotspot maps across desktop and mobile screens to surface confusing UI elements.</w:t>
      </w:r>
    </w:p>
    <w:p>
      <w:pPr>
        <w:pStyle w:val="ListBullet"/>
        <w:spacing w:before="20" w:after="60" w:line="276" w:lineRule="auto"/>
      </w:pPr>
      <w:r>
        <w:rPr>
          <w:b/>
          <w:color w:val="173B2E"/>
        </w:rPr>
        <w:t xml:space="preserve">Automated Reporting &amp; Export: </w:t>
      </w:r>
      <w:r>
        <w:t>Produces executive summary reports with usability scores, drop-off funnels, and path flow analysis.</w:t>
      </w:r>
    </w:p>
    <w:p>
      <w:pPr>
        <w:pStyle w:val="Heading1"/>
        <w:spacing w:before="240" w:after="120" w:line="276" w:lineRule="auto"/>
      </w:pPr>
      <w:r>
        <w:rPr>
          <w:rFonts w:ascii="Calibri" w:hAnsi="Calibri"/>
          <w:b/>
          <w:color w:val="173B2E"/>
          <w:sz w:val="32"/>
        </w:rPr>
        <w:t>3. Test Setup &amp; Methodology</w:t>
      </w:r>
    </w:p>
    <w:p>
      <w:pPr>
        <w:spacing w:before="40" w:after="120" w:line="276" w:lineRule="auto"/>
      </w:pPr>
      <w:r>
        <w:t>The remote usability evaluation was conducted on the AURELLE interactive Figma prototype with 15 target user participants representing diverse demographic personas (Gen Z, Family Gifters, Senior Citizens, and NRIs). The testing workflow followed five structured phases:</w:t>
      </w:r>
    </w:p>
    <w:p>
      <w:pPr>
        <w:spacing w:before="40" w:after="80" w:line="276" w:lineRule="auto"/>
      </w:pPr>
      <w:r>
        <w:rPr>
          <w:b/>
        </w:rPr>
        <w:t xml:space="preserve">1. Prototype Preparation in Figma: </w:t>
      </w:r>
      <w:r>
        <w:t>Configured interactive flows for desktop and mobile viewports, ensuring smart-animate transitions, modal overlays, slide-out hamburger drawers, and AR Try-On sliders functioned cleanly.</w:t>
      </w:r>
    </w:p>
    <w:p>
      <w:pPr>
        <w:spacing w:before="40" w:after="80" w:line="276" w:lineRule="auto"/>
      </w:pPr>
      <w:r>
        <w:rPr>
          <w:b/>
        </w:rPr>
        <w:t xml:space="preserve">2. Link Generation &amp; Maze Import: </w:t>
      </w:r>
      <w:r>
        <w:t>Set Figma sharing permissions to 'Anyone with the link can view' and imported the prototype URL directly into a newly created Maze project.</w:t>
      </w:r>
    </w:p>
    <w:p>
      <w:pPr>
        <w:spacing w:before="40" w:after="80" w:line="276" w:lineRule="auto"/>
      </w:pPr>
      <w:r>
        <w:rPr>
          <w:b/>
        </w:rPr>
        <w:t xml:space="preserve">3. Mission &amp; Questionnaire Configuration: </w:t>
      </w:r>
      <w:r>
        <w:t>Structured 4 distinct core missions aligned with key purchase journeys, adding single-choice feedback questions following each mission.</w:t>
      </w:r>
    </w:p>
    <w:p>
      <w:pPr>
        <w:spacing w:before="40" w:after="80" w:line="276" w:lineRule="auto"/>
      </w:pPr>
      <w:r>
        <w:rPr>
          <w:b/>
        </w:rPr>
        <w:t xml:space="preserve">4. Link Distribution &amp; Un-moderated Execution: </w:t>
      </w:r>
      <w:r>
        <w:t>Distributed the Maze test link to participants across desktop and mobile devices for independent execution without moderator guidance.</w:t>
      </w:r>
    </w:p>
    <w:p>
      <w:pPr>
        <w:spacing w:before="40" w:after="80" w:line="276" w:lineRule="auto"/>
      </w:pPr>
      <w:r>
        <w:rPr>
          <w:b/>
        </w:rPr>
        <w:t xml:space="preserve">5. Data Extraction &amp; Funnel Analysis: </w:t>
      </w:r>
      <w:r>
        <w:t>Extracted task completion rates, misclick hotspots, duration metrics, and drop-off points to drive evidence-based UI iterations.</w:t>
      </w:r>
    </w:p>
    <w:p>
      <w:pPr>
        <w:pStyle w:val="Heading1"/>
        <w:spacing w:before="240" w:after="120" w:line="276" w:lineRule="auto"/>
      </w:pPr>
      <w:r>
        <w:rPr>
          <w:rFonts w:ascii="Calibri" w:hAnsi="Calibri"/>
          <w:b/>
          <w:color w:val="173B2E"/>
          <w:sz w:val="32"/>
        </w:rPr>
        <w:t>4. Test Missions &amp; Scenarios Executed on AURELLE</w:t>
      </w:r>
    </w:p>
    <w:p>
      <w:pPr>
        <w:spacing w:before="40" w:after="120" w:line="276" w:lineRule="auto"/>
      </w:pPr>
      <w:r>
        <w:t>Participants were tasked with executing four realistic e-commerce scenarios on the AURELLE prototype to test navigation efficiency, feature discoverability, and financial transparency:</w:t>
      </w:r>
    </w:p>
    <w:p>
      <w:pPr>
        <w:pStyle w:val="Heading2"/>
        <w:spacing w:before="200" w:after="80" w:line="276" w:lineRule="auto"/>
      </w:pPr>
      <w:r>
        <w:rPr>
          <w:rFonts w:ascii="Calibri" w:hAnsi="Calibri"/>
          <w:b/>
          <w:color w:val="C7A45D"/>
          <w:sz w:val="26"/>
        </w:rPr>
        <w:t>Mission 1: Product Discovery &amp; Men's Jewellery Gifting</w:t>
      </w:r>
    </w:p>
    <w:p>
      <w:pPr>
        <w:spacing w:before="40" w:after="120" w:line="276" w:lineRule="auto"/>
      </w:pPr>
      <w:r>
        <w:t>Goal: Navigate via the Hamburger Menu to Gifting -&gt; 'For Him' and shortlist a 22K Gold Men's Kada.</w:t>
        <w:br/>
        <w:t>Scenario: You want to buy a luxury gift for your husband. Locate the dedicated Men's jewellery section from the menu and add the 22K Gold Kada to your Wishlist.</w:t>
      </w:r>
    </w:p>
    <w:p>
      <w:pPr>
        <w:pStyle w:val="Heading2"/>
        <w:spacing w:before="200" w:after="80" w:line="276" w:lineRule="auto"/>
      </w:pPr>
      <w:r>
        <w:rPr>
          <w:rFonts w:ascii="Calibri" w:hAnsi="Calibri"/>
          <w:b/>
          <w:color w:val="C7A45D"/>
          <w:sz w:val="26"/>
        </w:rPr>
        <w:t>Mission 2: Interactive AR Virtual Try-On &amp; Sizing</w:t>
      </w:r>
    </w:p>
    <w:p>
      <w:pPr>
        <w:spacing w:before="40" w:after="120" w:line="276" w:lineRule="auto"/>
      </w:pPr>
      <w:r>
        <w:t>Goal: Launch the AR Virtual Try-On tool on the Product Detail Page (PDP) and adjust the necklace drape length slider.</w:t>
        <w:br/>
        <w:t>Scenario: You are viewing the Royal Temple Choker PDP. Open the Virtual Try-On modal and adjust the drape length slider from 16" to 18" to evaluate fit.</w:t>
      </w:r>
    </w:p>
    <w:p>
      <w:pPr>
        <w:pStyle w:val="Heading2"/>
        <w:spacing w:before="200" w:after="80" w:line="276" w:lineRule="auto"/>
      </w:pPr>
      <w:r>
        <w:rPr>
          <w:rFonts w:ascii="Calibri" w:hAnsi="Calibri"/>
          <w:b/>
          <w:color w:val="C7A45D"/>
          <w:sz w:val="26"/>
        </w:rPr>
        <w:t>Mission 3: Omnichannel 'Stores Near Me' &amp; VIP Booking</w:t>
      </w:r>
    </w:p>
    <w:p>
      <w:pPr>
        <w:spacing w:before="40" w:after="120" w:line="276" w:lineRule="auto"/>
      </w:pPr>
      <w:r>
        <w:t>Goal: Access the Store Locator, search by postcode, and book an in-store trial session.</w:t>
        <w:br/>
        <w:t>Scenario: You want to physically inspect a bridal set before purchasing. Access 'Stores Near Me' from Aurelle Services, search postcode 560001, and book an in-store VIP trial.</w:t>
      </w:r>
    </w:p>
    <w:p>
      <w:pPr>
        <w:pStyle w:val="Heading2"/>
        <w:spacing w:before="200" w:after="80" w:line="276" w:lineRule="auto"/>
      </w:pPr>
      <w:r>
        <w:rPr>
          <w:rFonts w:ascii="Calibri" w:hAnsi="Calibri"/>
          <w:b/>
          <w:color w:val="C7A45D"/>
          <w:sz w:val="26"/>
        </w:rPr>
        <w:t>Mission 4: Financial Transparency &amp; Cost Breakdown Verification</w:t>
      </w:r>
    </w:p>
    <w:p>
      <w:pPr>
        <w:spacing w:before="40" w:after="120" w:line="276" w:lineRule="auto"/>
      </w:pPr>
      <w:r>
        <w:t>Goal: View the Transparent Price Breakdown modal on a PDP to inspect net gold weight and making charges.</w:t>
        <w:br/>
        <w:t>Scenario: Before proceeding to checkout, inspect the exact price breakdown (Metal + Making + Gemstone + 3% GST) for the 22K Royal Temple Choker.</w:t>
      </w:r>
    </w:p>
    <w:p>
      <w:pPr>
        <w:pStyle w:val="Heading1"/>
        <w:spacing w:before="240" w:after="120" w:line="276" w:lineRule="auto"/>
      </w:pPr>
      <w:r>
        <w:rPr>
          <w:rFonts w:ascii="Calibri" w:hAnsi="Calibri"/>
          <w:b/>
          <w:color w:val="173B2E"/>
          <w:sz w:val="32"/>
        </w:rPr>
        <w:t>5. Quantitative Test Results &amp; Usability Metrics</w:t>
      </w:r>
    </w:p>
    <w:p>
      <w:pPr>
        <w:spacing w:before="40" w:after="120" w:line="276" w:lineRule="auto"/>
      </w:pPr>
      <w:r>
        <w:t>The table below summarizes the quantitative performance metrics recorded across all 15 participants on Maze for the AURELLE prototype:</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592"/>
            <w:shd w:fill="173B2E" w:val="clear"/>
            <w:tcMar>
              <w:top w:w="120" w:type="dxa"/>
              <w:bottom w:w="120" w:type="dxa"/>
              <w:left w:w="150" w:type="dxa"/>
              <w:right w:w="150" w:type="dxa"/>
            </w:tcMar>
          </w:tcPr>
          <w:p>
            <w:pPr>
              <w:jc w:val="center"/>
            </w:pPr>
            <w:r>
              <w:rPr>
                <w:rFonts w:ascii="Calibri" w:hAnsi="Calibri"/>
                <w:b/>
                <w:color w:val="F4EBDD"/>
                <w:sz w:val="20"/>
              </w:rPr>
              <w:t>Mission Name</w:t>
            </w:r>
          </w:p>
        </w:tc>
        <w:tc>
          <w:tcPr>
            <w:tcW w:type="dxa" w:w="1584"/>
            <w:shd w:fill="173B2E" w:val="clear"/>
            <w:tcMar>
              <w:top w:w="120" w:type="dxa"/>
              <w:bottom w:w="120" w:type="dxa"/>
              <w:left w:w="150" w:type="dxa"/>
              <w:right w:w="150" w:type="dxa"/>
            </w:tcMar>
          </w:tcPr>
          <w:p>
            <w:pPr>
              <w:jc w:val="center"/>
            </w:pPr>
            <w:r>
              <w:rPr>
                <w:rFonts w:ascii="Calibri" w:hAnsi="Calibri"/>
                <w:b/>
                <w:color w:val="F4EBDD"/>
                <w:sz w:val="20"/>
              </w:rPr>
              <w:t>Direct Success</w:t>
            </w:r>
          </w:p>
        </w:tc>
        <w:tc>
          <w:tcPr>
            <w:tcW w:type="dxa" w:w="1584"/>
            <w:shd w:fill="173B2E" w:val="clear"/>
            <w:tcMar>
              <w:top w:w="120" w:type="dxa"/>
              <w:bottom w:w="120" w:type="dxa"/>
              <w:left w:w="150" w:type="dxa"/>
              <w:right w:w="150" w:type="dxa"/>
            </w:tcMar>
          </w:tcPr>
          <w:p>
            <w:pPr>
              <w:jc w:val="center"/>
            </w:pPr>
            <w:r>
              <w:rPr>
                <w:rFonts w:ascii="Calibri" w:hAnsi="Calibri"/>
                <w:b/>
                <w:color w:val="F4EBDD"/>
                <w:sz w:val="20"/>
              </w:rPr>
              <w:t>Indirect Success</w:t>
            </w:r>
          </w:p>
        </w:tc>
        <w:tc>
          <w:tcPr>
            <w:tcW w:type="dxa" w:w="1584"/>
            <w:shd w:fill="173B2E" w:val="clear"/>
            <w:tcMar>
              <w:top w:w="120" w:type="dxa"/>
              <w:bottom w:w="120" w:type="dxa"/>
              <w:left w:w="150" w:type="dxa"/>
              <w:right w:w="150" w:type="dxa"/>
            </w:tcMar>
          </w:tcPr>
          <w:p>
            <w:pPr>
              <w:jc w:val="center"/>
            </w:pPr>
            <w:r>
              <w:rPr>
                <w:rFonts w:ascii="Calibri" w:hAnsi="Calibri"/>
                <w:b/>
                <w:color w:val="F4EBDD"/>
                <w:sz w:val="20"/>
              </w:rPr>
              <w:t>Misclick Rate</w:t>
            </w:r>
          </w:p>
        </w:tc>
        <w:tc>
          <w:tcPr>
            <w:tcW w:type="dxa" w:w="2016"/>
            <w:shd w:fill="173B2E" w:val="clear"/>
            <w:tcMar>
              <w:top w:w="120" w:type="dxa"/>
              <w:bottom w:w="120" w:type="dxa"/>
              <w:left w:w="150" w:type="dxa"/>
              <w:right w:w="150" w:type="dxa"/>
            </w:tcMar>
          </w:tcPr>
          <w:p>
            <w:pPr>
              <w:jc w:val="center"/>
            </w:pPr>
            <w:r>
              <w:rPr>
                <w:rFonts w:ascii="Calibri" w:hAnsi="Calibri"/>
                <w:b/>
                <w:color w:val="F4EBDD"/>
                <w:sz w:val="20"/>
              </w:rPr>
              <w:t>Avg. Duration</w:t>
            </w:r>
          </w:p>
        </w:tc>
      </w:tr>
      <w:tr>
        <w:tc>
          <w:tcPr>
            <w:tcW w:type="dxa" w:w="2592"/>
            <w:shd w:fill="F8F5EE" w:val="clear"/>
            <w:tcMar>
              <w:top w:w="120" w:type="dxa"/>
              <w:bottom w:w="120" w:type="dxa"/>
              <w:left w:w="150" w:type="dxa"/>
              <w:right w:w="150" w:type="dxa"/>
            </w:tcMar>
          </w:tcPr>
          <w:p>
            <w:pPr>
              <w:jc w:val="left"/>
            </w:pPr>
            <w:r>
              <w:rPr>
                <w:rFonts w:ascii="Calibri" w:hAnsi="Calibri"/>
                <w:color w:val="242720"/>
                <w:sz w:val="19"/>
              </w:rPr>
              <w:t>Mission 1: Gifting For Him</w:t>
            </w:r>
          </w:p>
        </w:tc>
        <w:tc>
          <w:tcPr>
            <w:tcW w:type="dxa" w:w="1584"/>
            <w:shd w:fill="F8F5EE" w:val="clear"/>
            <w:tcMar>
              <w:top w:w="120" w:type="dxa"/>
              <w:bottom w:w="120" w:type="dxa"/>
              <w:left w:w="150" w:type="dxa"/>
              <w:right w:w="150" w:type="dxa"/>
            </w:tcMar>
          </w:tcPr>
          <w:p>
            <w:pPr>
              <w:jc w:val="center"/>
            </w:pPr>
            <w:r>
              <w:rPr>
                <w:rFonts w:ascii="Calibri" w:hAnsi="Calibri"/>
                <w:color w:val="242720"/>
                <w:sz w:val="19"/>
              </w:rPr>
              <w:t>86.7% (13/15)</w:t>
            </w:r>
          </w:p>
        </w:tc>
        <w:tc>
          <w:tcPr>
            <w:tcW w:type="dxa" w:w="1584"/>
            <w:shd w:fill="F8F5EE" w:val="clear"/>
            <w:tcMar>
              <w:top w:w="120" w:type="dxa"/>
              <w:bottom w:w="120" w:type="dxa"/>
              <w:left w:w="150" w:type="dxa"/>
              <w:right w:w="150" w:type="dxa"/>
            </w:tcMar>
          </w:tcPr>
          <w:p>
            <w:pPr>
              <w:jc w:val="center"/>
            </w:pPr>
            <w:r>
              <w:rPr>
                <w:rFonts w:ascii="Calibri" w:hAnsi="Calibri"/>
                <w:color w:val="242720"/>
                <w:sz w:val="19"/>
              </w:rPr>
              <w:t>13.3% (2/15)</w:t>
            </w:r>
          </w:p>
        </w:tc>
        <w:tc>
          <w:tcPr>
            <w:tcW w:type="dxa" w:w="1584"/>
            <w:shd w:fill="F8F5EE" w:val="clear"/>
            <w:tcMar>
              <w:top w:w="120" w:type="dxa"/>
              <w:bottom w:w="120" w:type="dxa"/>
              <w:left w:w="150" w:type="dxa"/>
              <w:right w:w="150" w:type="dxa"/>
            </w:tcMar>
          </w:tcPr>
          <w:p>
            <w:pPr>
              <w:jc w:val="center"/>
            </w:pPr>
            <w:r>
              <w:rPr>
                <w:rFonts w:ascii="Calibri" w:hAnsi="Calibri"/>
                <w:color w:val="242720"/>
                <w:sz w:val="19"/>
              </w:rPr>
              <w:t>4.2%</w:t>
            </w:r>
          </w:p>
        </w:tc>
        <w:tc>
          <w:tcPr>
            <w:tcW w:type="dxa" w:w="2016"/>
            <w:shd w:fill="F8F5EE" w:val="clear"/>
            <w:tcMar>
              <w:top w:w="120" w:type="dxa"/>
              <w:bottom w:w="120" w:type="dxa"/>
              <w:left w:w="150" w:type="dxa"/>
              <w:right w:w="150" w:type="dxa"/>
            </w:tcMar>
          </w:tcPr>
          <w:p>
            <w:pPr>
              <w:jc w:val="center"/>
            </w:pPr>
            <w:r>
              <w:rPr>
                <w:rFonts w:ascii="Calibri" w:hAnsi="Calibri"/>
                <w:color w:val="242720"/>
                <w:sz w:val="19"/>
              </w:rPr>
              <w:t>18.4 sec</w:t>
            </w:r>
          </w:p>
        </w:tc>
      </w:tr>
      <w:tr>
        <w:tc>
          <w:tcPr>
            <w:tcW w:type="dxa" w:w="2592"/>
            <w:shd w:fill="FFFFFF" w:val="clear"/>
            <w:tcMar>
              <w:top w:w="120" w:type="dxa"/>
              <w:bottom w:w="120" w:type="dxa"/>
              <w:left w:w="150" w:type="dxa"/>
              <w:right w:w="150" w:type="dxa"/>
            </w:tcMar>
          </w:tcPr>
          <w:p>
            <w:pPr>
              <w:jc w:val="left"/>
            </w:pPr>
            <w:r>
              <w:rPr>
                <w:rFonts w:ascii="Calibri" w:hAnsi="Calibri"/>
                <w:color w:val="242720"/>
                <w:sz w:val="19"/>
              </w:rPr>
              <w:t>Mission 2: AR Virtual Try-On</w:t>
            </w:r>
          </w:p>
        </w:tc>
        <w:tc>
          <w:tcPr>
            <w:tcW w:type="dxa" w:w="1584"/>
            <w:shd w:fill="FFFFFF" w:val="clear"/>
            <w:tcMar>
              <w:top w:w="120" w:type="dxa"/>
              <w:bottom w:w="120" w:type="dxa"/>
              <w:left w:w="150" w:type="dxa"/>
              <w:right w:w="150" w:type="dxa"/>
            </w:tcMar>
          </w:tcPr>
          <w:p>
            <w:pPr>
              <w:jc w:val="center"/>
            </w:pPr>
            <w:r>
              <w:rPr>
                <w:rFonts w:ascii="Calibri" w:hAnsi="Calibri"/>
                <w:color w:val="242720"/>
                <w:sz w:val="19"/>
              </w:rPr>
              <w:t>93.3% (14/15)</w:t>
            </w:r>
          </w:p>
        </w:tc>
        <w:tc>
          <w:tcPr>
            <w:tcW w:type="dxa" w:w="1584"/>
            <w:shd w:fill="FFFFFF" w:val="clear"/>
            <w:tcMar>
              <w:top w:w="120" w:type="dxa"/>
              <w:bottom w:w="120" w:type="dxa"/>
              <w:left w:w="150" w:type="dxa"/>
              <w:right w:w="150" w:type="dxa"/>
            </w:tcMar>
          </w:tcPr>
          <w:p>
            <w:pPr>
              <w:jc w:val="center"/>
            </w:pPr>
            <w:r>
              <w:rPr>
                <w:rFonts w:ascii="Calibri" w:hAnsi="Calibri"/>
                <w:color w:val="242720"/>
                <w:sz w:val="19"/>
              </w:rPr>
              <w:t>6.7% (1/15)</w:t>
            </w:r>
          </w:p>
        </w:tc>
        <w:tc>
          <w:tcPr>
            <w:tcW w:type="dxa" w:w="1584"/>
            <w:shd w:fill="FFFFFF" w:val="clear"/>
            <w:tcMar>
              <w:top w:w="120" w:type="dxa"/>
              <w:bottom w:w="120" w:type="dxa"/>
              <w:left w:w="150" w:type="dxa"/>
              <w:right w:w="150" w:type="dxa"/>
            </w:tcMar>
          </w:tcPr>
          <w:p>
            <w:pPr>
              <w:jc w:val="center"/>
            </w:pPr>
            <w:r>
              <w:rPr>
                <w:rFonts w:ascii="Calibri" w:hAnsi="Calibri"/>
                <w:color w:val="242720"/>
                <w:sz w:val="19"/>
              </w:rPr>
              <w:t>2.8%</w:t>
            </w:r>
          </w:p>
        </w:tc>
        <w:tc>
          <w:tcPr>
            <w:tcW w:type="dxa" w:w="2016"/>
            <w:shd w:fill="FFFFFF" w:val="clear"/>
            <w:tcMar>
              <w:top w:w="120" w:type="dxa"/>
              <w:bottom w:w="120" w:type="dxa"/>
              <w:left w:w="150" w:type="dxa"/>
              <w:right w:w="150" w:type="dxa"/>
            </w:tcMar>
          </w:tcPr>
          <w:p>
            <w:pPr>
              <w:jc w:val="center"/>
            </w:pPr>
            <w:r>
              <w:rPr>
                <w:rFonts w:ascii="Calibri" w:hAnsi="Calibri"/>
                <w:color w:val="242720"/>
                <w:sz w:val="19"/>
              </w:rPr>
              <w:t>14.2 sec</w:t>
            </w:r>
          </w:p>
        </w:tc>
      </w:tr>
      <w:tr>
        <w:tc>
          <w:tcPr>
            <w:tcW w:type="dxa" w:w="2592"/>
            <w:shd w:fill="F8F5EE" w:val="clear"/>
            <w:tcMar>
              <w:top w:w="120" w:type="dxa"/>
              <w:bottom w:w="120" w:type="dxa"/>
              <w:left w:w="150" w:type="dxa"/>
              <w:right w:w="150" w:type="dxa"/>
            </w:tcMar>
          </w:tcPr>
          <w:p>
            <w:pPr>
              <w:jc w:val="left"/>
            </w:pPr>
            <w:r>
              <w:rPr>
                <w:rFonts w:ascii="Calibri" w:hAnsi="Calibri"/>
                <w:color w:val="242720"/>
                <w:sz w:val="19"/>
              </w:rPr>
              <w:t>Mission 3: Store Locator Map</w:t>
            </w:r>
          </w:p>
        </w:tc>
        <w:tc>
          <w:tcPr>
            <w:tcW w:type="dxa" w:w="1584"/>
            <w:shd w:fill="F8F5EE" w:val="clear"/>
            <w:tcMar>
              <w:top w:w="120" w:type="dxa"/>
              <w:bottom w:w="120" w:type="dxa"/>
              <w:left w:w="150" w:type="dxa"/>
              <w:right w:w="150" w:type="dxa"/>
            </w:tcMar>
          </w:tcPr>
          <w:p>
            <w:pPr>
              <w:jc w:val="center"/>
            </w:pPr>
            <w:r>
              <w:rPr>
                <w:rFonts w:ascii="Calibri" w:hAnsi="Calibri"/>
                <w:color w:val="242720"/>
                <w:sz w:val="19"/>
              </w:rPr>
              <w:t>80.0% (12/15)</w:t>
            </w:r>
          </w:p>
        </w:tc>
        <w:tc>
          <w:tcPr>
            <w:tcW w:type="dxa" w:w="1584"/>
            <w:shd w:fill="F8F5EE" w:val="clear"/>
            <w:tcMar>
              <w:top w:w="120" w:type="dxa"/>
              <w:bottom w:w="120" w:type="dxa"/>
              <w:left w:w="150" w:type="dxa"/>
              <w:right w:w="150" w:type="dxa"/>
            </w:tcMar>
          </w:tcPr>
          <w:p>
            <w:pPr>
              <w:jc w:val="center"/>
            </w:pPr>
            <w:r>
              <w:rPr>
                <w:rFonts w:ascii="Calibri" w:hAnsi="Calibri"/>
                <w:color w:val="242720"/>
                <w:sz w:val="19"/>
              </w:rPr>
              <w:t>13.3% (2/15)</w:t>
            </w:r>
          </w:p>
        </w:tc>
        <w:tc>
          <w:tcPr>
            <w:tcW w:type="dxa" w:w="1584"/>
            <w:shd w:fill="F8F5EE" w:val="clear"/>
            <w:tcMar>
              <w:top w:w="120" w:type="dxa"/>
              <w:bottom w:w="120" w:type="dxa"/>
              <w:left w:w="150" w:type="dxa"/>
              <w:right w:w="150" w:type="dxa"/>
            </w:tcMar>
          </w:tcPr>
          <w:p>
            <w:pPr>
              <w:jc w:val="center"/>
            </w:pPr>
            <w:r>
              <w:rPr>
                <w:rFonts w:ascii="Calibri" w:hAnsi="Calibri"/>
                <w:color w:val="242720"/>
                <w:sz w:val="19"/>
              </w:rPr>
              <w:t>8.5%</w:t>
            </w:r>
          </w:p>
        </w:tc>
        <w:tc>
          <w:tcPr>
            <w:tcW w:type="dxa" w:w="2016"/>
            <w:shd w:fill="F8F5EE" w:val="clear"/>
            <w:tcMar>
              <w:top w:w="120" w:type="dxa"/>
              <w:bottom w:w="120" w:type="dxa"/>
              <w:left w:w="150" w:type="dxa"/>
              <w:right w:w="150" w:type="dxa"/>
            </w:tcMar>
          </w:tcPr>
          <w:p>
            <w:pPr>
              <w:jc w:val="center"/>
            </w:pPr>
            <w:r>
              <w:rPr>
                <w:rFonts w:ascii="Calibri" w:hAnsi="Calibri"/>
                <w:color w:val="242720"/>
                <w:sz w:val="19"/>
              </w:rPr>
              <w:t>22.6 sec</w:t>
            </w:r>
          </w:p>
        </w:tc>
      </w:tr>
      <w:tr>
        <w:tc>
          <w:tcPr>
            <w:tcW w:type="dxa" w:w="2592"/>
            <w:shd w:fill="FFFFFF" w:val="clear"/>
            <w:tcMar>
              <w:top w:w="120" w:type="dxa"/>
              <w:bottom w:w="120" w:type="dxa"/>
              <w:left w:w="150" w:type="dxa"/>
              <w:right w:w="150" w:type="dxa"/>
            </w:tcMar>
          </w:tcPr>
          <w:p>
            <w:pPr>
              <w:jc w:val="left"/>
            </w:pPr>
            <w:r>
              <w:rPr>
                <w:rFonts w:ascii="Calibri" w:hAnsi="Calibri"/>
                <w:color w:val="242720"/>
                <w:sz w:val="19"/>
              </w:rPr>
              <w:t>Mission 4: Price Breakdown</w:t>
            </w:r>
          </w:p>
        </w:tc>
        <w:tc>
          <w:tcPr>
            <w:tcW w:type="dxa" w:w="1584"/>
            <w:shd w:fill="FFFFFF" w:val="clear"/>
            <w:tcMar>
              <w:top w:w="120" w:type="dxa"/>
              <w:bottom w:w="120" w:type="dxa"/>
              <w:left w:w="150" w:type="dxa"/>
              <w:right w:w="150" w:type="dxa"/>
            </w:tcMar>
          </w:tcPr>
          <w:p>
            <w:pPr>
              <w:jc w:val="center"/>
            </w:pPr>
            <w:r>
              <w:rPr>
                <w:rFonts w:ascii="Calibri" w:hAnsi="Calibri"/>
                <w:color w:val="242720"/>
                <w:sz w:val="19"/>
              </w:rPr>
              <w:t>100.0% (15/15)</w:t>
            </w:r>
          </w:p>
        </w:tc>
        <w:tc>
          <w:tcPr>
            <w:tcW w:type="dxa" w:w="1584"/>
            <w:shd w:fill="FFFFFF" w:val="clear"/>
            <w:tcMar>
              <w:top w:w="120" w:type="dxa"/>
              <w:bottom w:w="120" w:type="dxa"/>
              <w:left w:w="150" w:type="dxa"/>
              <w:right w:w="150" w:type="dxa"/>
            </w:tcMar>
          </w:tcPr>
          <w:p>
            <w:pPr>
              <w:jc w:val="center"/>
            </w:pPr>
            <w:r>
              <w:rPr>
                <w:rFonts w:ascii="Calibri" w:hAnsi="Calibri"/>
                <w:color w:val="242720"/>
                <w:sz w:val="19"/>
              </w:rPr>
              <w:t>0.0% (0/15)</w:t>
            </w:r>
          </w:p>
        </w:tc>
        <w:tc>
          <w:tcPr>
            <w:tcW w:type="dxa" w:w="1584"/>
            <w:shd w:fill="FFFFFF" w:val="clear"/>
            <w:tcMar>
              <w:top w:w="120" w:type="dxa"/>
              <w:bottom w:w="120" w:type="dxa"/>
              <w:left w:w="150" w:type="dxa"/>
              <w:right w:w="150" w:type="dxa"/>
            </w:tcMar>
          </w:tcPr>
          <w:p>
            <w:pPr>
              <w:jc w:val="center"/>
            </w:pPr>
            <w:r>
              <w:rPr>
                <w:rFonts w:ascii="Calibri" w:hAnsi="Calibri"/>
                <w:color w:val="242720"/>
                <w:sz w:val="19"/>
              </w:rPr>
              <w:t>1.1%</w:t>
            </w:r>
          </w:p>
        </w:tc>
        <w:tc>
          <w:tcPr>
            <w:tcW w:type="dxa" w:w="2016"/>
            <w:shd w:fill="FFFFFF" w:val="clear"/>
            <w:tcMar>
              <w:top w:w="120" w:type="dxa"/>
              <w:bottom w:w="120" w:type="dxa"/>
              <w:left w:w="150" w:type="dxa"/>
              <w:right w:w="150" w:type="dxa"/>
            </w:tcMar>
          </w:tcPr>
          <w:p>
            <w:pPr>
              <w:jc w:val="center"/>
            </w:pPr>
            <w:r>
              <w:rPr>
                <w:rFonts w:ascii="Calibri" w:hAnsi="Calibri"/>
                <w:color w:val="242720"/>
                <w:sz w:val="19"/>
              </w:rPr>
              <w:t>9.8 sec</w:t>
            </w:r>
          </w:p>
        </w:tc>
      </w:tr>
    </w:tbl>
    <w:p/>
    <w:p>
      <w:pPr>
        <w:pStyle w:val="Heading1"/>
        <w:spacing w:before="240" w:after="120" w:line="276" w:lineRule="auto"/>
      </w:pPr>
      <w:r>
        <w:rPr>
          <w:rFonts w:ascii="Calibri" w:hAnsi="Calibri"/>
          <w:b/>
          <w:color w:val="173B2E"/>
          <w:sz w:val="32"/>
        </w:rPr>
        <w:t>6. Heatmap Analysis &amp; User Behavior Findings</w:t>
      </w:r>
    </w:p>
    <w:p>
      <w:pPr>
        <w:pStyle w:val="Heading2"/>
        <w:spacing w:before="200" w:after="80" w:line="276" w:lineRule="auto"/>
      </w:pPr>
      <w:r>
        <w:rPr>
          <w:rFonts w:ascii="Calibri" w:hAnsi="Calibri"/>
          <w:b/>
          <w:color w:val="C7A45D"/>
          <w:sz w:val="26"/>
        </w:rPr>
        <w:t>Key Usability Hotspot Insights</w:t>
      </w:r>
    </w:p>
    <w:p>
      <w:pPr>
        <w:spacing w:before="40" w:after="120" w:line="276" w:lineRule="auto"/>
      </w:pPr>
      <w:r>
        <w:rPr>
          <w:b/>
        </w:rPr>
        <w:t xml:space="preserve">1. High Navigation Clarity (Mission 1 &amp; 4): </w:t>
      </w:r>
      <w:r>
        <w:t>Heatmaps revealed a dense click concentration directly on the Hamburger Menu icon and the top Live Gold Rate ticker. The explicit 'For Him' dropdown link achieved an 86.7% direct path completion rate, confirming that housing gender-specific jewellery inside Gifting eliminated catalog clutter.</w:t>
      </w:r>
    </w:p>
    <w:p>
      <w:pPr>
        <w:spacing w:before="40" w:after="120" w:line="276" w:lineRule="auto"/>
      </w:pPr>
      <w:r>
        <w:rPr>
          <w:b/>
        </w:rPr>
        <w:t xml:space="preserve">2. AR Try-On Discoverability (Mission 2): </w:t>
      </w:r>
      <w:r>
        <w:t>The Champagne Gold border and prominent camera icon on the PDP 'Virtual Try-On' CTA generated immediate user clicks (misclick rate under 3%). Users seamlessly adjusted the scale slider, confirming high learnability.</w:t>
      </w:r>
    </w:p>
    <w:p>
      <w:pPr>
        <w:spacing w:before="40" w:after="120" w:line="276" w:lineRule="auto"/>
      </w:pPr>
      <w:r>
        <w:rPr>
          <w:b/>
        </w:rPr>
        <w:t xml:space="preserve">3. Misclick &amp; Friction Points in Store Locator (Mission 3): </w:t>
      </w:r>
      <w:r>
        <w:t>Mission 3 recorded the highest misclick rate (8.5%). Heatmaps showed participants initially tapped static map pin graphics expecting them to open store details directly, rather than tapping the explicit 'Book VIP Trial' card button below.</w:t>
      </w:r>
    </w:p>
    <w:p>
      <w:pPr>
        <w:pStyle w:val="Heading1"/>
        <w:spacing w:before="240" w:after="120" w:line="276" w:lineRule="auto"/>
      </w:pPr>
      <w:r>
        <w:rPr>
          <w:rFonts w:ascii="Calibri" w:hAnsi="Calibri"/>
          <w:b/>
          <w:color w:val="173B2E"/>
          <w:sz w:val="32"/>
        </w:rPr>
        <w:t>7. Prototype Refinements &amp; Design Iterations</w:t>
      </w:r>
    </w:p>
    <w:p>
      <w:pPr>
        <w:spacing w:before="40" w:after="120" w:line="276" w:lineRule="auto"/>
      </w:pPr>
      <w:r>
        <w:t>Based on quantitative drop-offs and misclick hotspots identified during Maze testing, three actionable prototype refinements were executed in Figma:</w:t>
      </w:r>
    </w:p>
    <w:p>
      <w:pPr>
        <w:pStyle w:val="ListBullet"/>
        <w:spacing w:before="20" w:after="60" w:line="276" w:lineRule="auto"/>
      </w:pPr>
      <w:r>
        <w:rPr>
          <w:b/>
          <w:color w:val="173B2E"/>
        </w:rPr>
        <w:t xml:space="preserve">Interactive Map Pin Tooltips: </w:t>
      </w:r>
      <w:r>
        <w:t>Made map pin markers directly clickable in Figma, triggering a slide-up store preview card so tapping pins fulfills user expectation.</w:t>
      </w:r>
    </w:p>
    <w:p>
      <w:pPr>
        <w:pStyle w:val="ListBullet"/>
        <w:spacing w:before="20" w:after="60" w:line="276" w:lineRule="auto"/>
      </w:pPr>
      <w:r>
        <w:rPr>
          <w:b/>
          <w:color w:val="173B2E"/>
        </w:rPr>
        <w:t xml:space="preserve">Enhanced Price Breakdown CTA: </w:t>
      </w:r>
      <w:r>
        <w:t>Added a subtle gold info icon next to 'Net Gold Weight' on product cards to make price breakdown modal discoverable before reaching PDP.</w:t>
      </w:r>
    </w:p>
    <w:p>
      <w:pPr>
        <w:pStyle w:val="ListBullet"/>
        <w:spacing w:before="20" w:after="60" w:line="276" w:lineRule="auto"/>
      </w:pPr>
      <w:r>
        <w:rPr>
          <w:b/>
          <w:color w:val="173B2E"/>
        </w:rPr>
        <w:t xml:space="preserve">Mobile Sticky Bottom Action Bar: </w:t>
      </w:r>
      <w:r>
        <w:t>Locked the 'Virtual Try-On' and 'Add to Bag' CTAs to a fixed bottom sticky bar on mobile viewports to prevent scrolling friction.</w:t>
      </w:r>
    </w:p>
    <w:p>
      <w:pPr>
        <w:pStyle w:val="Heading1"/>
        <w:spacing w:before="240" w:after="120" w:line="276" w:lineRule="auto"/>
      </w:pPr>
      <w:r>
        <w:rPr>
          <w:rFonts w:ascii="Calibri" w:hAnsi="Calibri"/>
          <w:b/>
          <w:color w:val="173B2E"/>
          <w:sz w:val="32"/>
        </w:rPr>
        <w:t>8. Conclusion</w:t>
      </w:r>
    </w:p>
    <w:p>
      <w:pPr>
        <w:spacing w:before="40" w:after="120" w:line="276" w:lineRule="auto"/>
      </w:pPr>
      <w:r>
        <w:t>Un-moderated remote usability testing via Maze successfully validated the AURELLE luxury jewellery interface prior to software development. With an overall average task completion rate of 90% and low misclick rates across primary e-commerce journeys, Maze proved to be an invaluable tool for capturing authentic user behavior, surfacing subtle navigation friction points, and guiding evidence-based prototype refinements.</w:t>
      </w:r>
    </w:p>
    <w:p>
      <w:pPr>
        <w:pStyle w:val="Heading1"/>
        <w:spacing w:before="240" w:after="120" w:line="276" w:lineRule="auto"/>
      </w:pPr>
      <w:r>
        <w:rPr>
          <w:rFonts w:ascii="Calibri" w:hAnsi="Calibri"/>
          <w:b/>
          <w:color w:val="173B2E"/>
          <w:sz w:val="32"/>
        </w:rPr>
        <w:t>9. Frequently Asked Questions (FAQs)</w:t>
      </w:r>
    </w:p>
    <w:p>
      <w:pPr>
        <w:pStyle w:val="Heading2"/>
        <w:spacing w:before="200" w:after="80" w:line="276" w:lineRule="auto"/>
      </w:pPr>
      <w:r>
        <w:rPr>
          <w:rFonts w:ascii="Calibri" w:hAnsi="Calibri"/>
          <w:b/>
          <w:color w:val="C7A45D"/>
          <w:sz w:val="26"/>
        </w:rPr>
        <w:t>FAQ 1: Define the objective of user testing.</w:t>
      </w:r>
    </w:p>
    <w:p>
      <w:pPr>
        <w:spacing w:before="40" w:after="120" w:line="276" w:lineRule="auto"/>
      </w:pPr>
      <w:r>
        <w:t>The primary objective of user testing is to evaluate a digital product's usability, learnability, efficiency, and satisfaction by observing real users performing representative tasks. It aims to identify interface flaws, navigation bottlenecks, confusing terminology, and cognitive friction before public release, ensuring the final software meets user goals effectively.</w:t>
      </w:r>
    </w:p>
    <w:p>
      <w:pPr>
        <w:pStyle w:val="Heading2"/>
        <w:spacing w:before="200" w:after="80" w:line="276" w:lineRule="auto"/>
      </w:pPr>
      <w:r>
        <w:rPr>
          <w:rFonts w:ascii="Calibri" w:hAnsi="Calibri"/>
          <w:b/>
          <w:color w:val="C7A45D"/>
          <w:sz w:val="26"/>
        </w:rPr>
        <w:t>FAQ 2: Discuss different methods of User Testing.</w:t>
      </w:r>
    </w:p>
    <w:p>
      <w:pPr>
        <w:spacing w:before="40" w:after="120" w:line="276" w:lineRule="auto"/>
      </w:pPr>
      <w:r>
        <w:t>User testing methods can be categorized based on moderation, location, and data type:</w:t>
        <w:br/>
        <w:t>1. Moderated vs. Un-moderated Testing: Moderated testing involves a live facilitator guiding the user and probing thoughts in real-time. Un-moderated testing (e.g., via Maze) allows users to complete tasks independently at their own pace, generating objective metrics at scale.</w:t>
        <w:br/>
        <w:t>2. Remote vs. In-Person Testing: In-person testing takes place in a controlled lab setting, observing physical reactions. Remote testing uses web links to evaluate users in their natural environment on personal devices.</w:t>
        <w:br/>
        <w:t>3. Qualitative vs. Quantitative Testing: Qualitative testing focuses on observing user thoughts, emotional frustrations, and verbal feedback. Quantitative testing records numerical metrics like completion time, success rates, and misclick percentages.</w:t>
        <w:br/>
        <w:t>4. A/B Testing: Compares two visual variations (Version A vs. Version B) with live user groups to determine which design yields higher conversion or task completion.</w:t>
      </w:r>
    </w:p>
    <w:p>
      <w:pPr>
        <w:pStyle w:val="Heading2"/>
        <w:spacing w:before="200" w:after="80" w:line="276" w:lineRule="auto"/>
      </w:pPr>
      <w:r>
        <w:rPr>
          <w:rFonts w:ascii="Calibri" w:hAnsi="Calibri"/>
          <w:b/>
          <w:color w:val="C7A45D"/>
          <w:sz w:val="26"/>
        </w:rPr>
        <w:t>FAQ 3: Explain the Features and Benefits of Maze.</w:t>
      </w:r>
    </w:p>
    <w:p>
      <w:pPr>
        <w:spacing w:before="40" w:after="120" w:line="276" w:lineRule="auto"/>
      </w:pPr>
      <w:r>
        <w:t>Maze provides powerful capabilities for modern product design teams:</w:t>
        <w:br/>
        <w:t>• Direct Figma Integration: Imports interactive prototypes directly using share links without writing code or installing tracking scripts.</w:t>
        <w:br/>
        <w:t>• Automated Behavioral Heatmaps: Visualizes exact click, scroll, and tap hotspots across desktop and mobile screens.</w:t>
        <w:br/>
        <w:t>• Comprehensive Metric Tracking: Automatically records success rates, misclicks, bounce rates, and task duration.</w:t>
        <w:br/>
        <w:t>• Rapid Un-moderated Execution: Enables test creation and distribution within minutes, gathering feedback from dozens of users in hours.</w:t>
        <w:br/>
        <w:t>• Cost &amp; Time Efficiency: Reduces usability evaluation costs compared to traditional lab-based testing while delivering objective, data-driven insights.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Student: Mahek Katharotiya (1262242460) | Panel 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173B2E"/>
        <w:sz w:val="17"/>
      </w:rPr>
      <w:t>AURELLE UX/UI | Lab Assignment 6: Remote Usability Testing using Maze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