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01. Bastar Complete Overview</w:t>
      </w:r>
    </w:p>
    <w:p>
      <w:pPr>
        <w:spacing w:before="0" w:after="280"/>
        <w:jc w:val="left"/>
      </w:pPr>
      <w:r>
        <w:rPr>
          <w:rFonts w:ascii="Calibri" w:hAnsi="Calibri"/>
          <w:i/>
          <w:color w:val="2D5A27"/>
          <w:sz w:val="26"/>
        </w:rPr>
        <w:t>Multidisciplinary Foundational Synthesis: Geography, Culture, Ecology &amp; Heritage</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BST-DOC-001</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Division (All 7 Districts: Bastar, Dantewada, Kondagaon, Narayanpur, Bijapur, Sukma, Kanker)</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Multidisciplinary Academic Reference Document</w:t>
            </w:r>
          </w:p>
        </w:tc>
      </w:tr>
      <w:tr>
        <w:tc>
          <w:tcPr>
            <w:tcW w:type="dxa" w:w="3168"/>
            <w:shd w:fill="FDF8EE"/>
            <w:tcMar>
              <w:top w:w="80" w:type="dxa"/>
              <w:bottom w:w="80" w:type="dxa"/>
              <w:left w:w="120" w:type="dxa"/>
              <w:right w:w="120" w:type="dxa"/>
            </w:tcMar>
          </w:tcPr>
          <w:p>
            <w:pPr>
              <w:spacing w:after="0" w:before="0"/>
            </w:pPr>
            <w:r>
              <w:rPr>
                <w:b/>
                <w:color w:val="8B3A1C"/>
                <w:sz w:val="19"/>
              </w:rPr>
              <w:t>Fact / Tradition Status</w:t>
            </w:r>
          </w:p>
        </w:tc>
        <w:tc>
          <w:tcPr>
            <w:tcW w:type="dxa" w:w="6192"/>
            <w:shd w:fill="FFFFFF"/>
            <w:tcMar>
              <w:top w:w="80" w:type="dxa"/>
              <w:bottom w:w="80" w:type="dxa"/>
              <w:left w:w="120" w:type="dxa"/>
              <w:right w:w="120" w:type="dxa"/>
            </w:tcMar>
          </w:tcPr>
          <w:p>
            <w:pPr>
              <w:spacing w:after="0" w:before="0"/>
            </w:pPr>
            <w:r>
              <w:rPr>
                <w:color w:val="1A252F"/>
                <w:sz w:val="19"/>
              </w:rPr>
              <w:t>Rigorous Synthesis of Empirical Data, Epigraphy, Ethnography &amp; Field Research</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(Government of India / CG Census, ASI Reports, Anthropological Survey of India)</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Regional Identity and Nomenclature</w:t>
      </w:r>
    </w:p>
    <w:p>
      <w:r>
        <w:t>Bastar (historically recorded as Chakrakota, Bhramarokotya, and Dandakaranya in epigraphic and literary records) constitutes the southern cultural and geographical plateau of Chhattisgarh, India. Spanning the Dandakaranya plateau and bisected by the westward-flowing Indravati River, the region represents one of Central India's most ecologically rich and culturally unbroken indigenous landscapes. Administratively, while 'Bastar' historically designated a single princely state (and later a massive monolithic district spanning over 39,114 sq km), it currently designates the Bastar Administrative Division, comprising seven distinct districts: Bastar (HQ Jagdalpur), Dantewada (Dakshin Bastar), Kondagaon, Narayanpur, Bijapur, Sukma, and Uttar Bastar Kanker.</w:t>
      </w:r>
    </w:p>
    <w:p>
      <w:pPr>
        <w:keepNext/>
        <w:spacing w:before="240" w:after="80"/>
      </w:pPr>
      <w:r>
        <w:rPr>
          <w:rFonts w:ascii="Calibri" w:hAnsi="Calibri"/>
          <w:b/>
          <w:color w:val="2D5A27"/>
          <w:sz w:val="25"/>
        </w:rPr>
        <w:t>Administrative and Geographical Overview Table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8B3A1C"/>
            <w:tcMar>
              <w:top w:w="100" w:type="dxa"/>
              <w:bottom w:w="100" w:type="dxa"/>
              <w:left w:w="120" w:type="dxa"/>
              <w:right w:w="120" w:type="dxa"/>
            </w:tcMar>
          </w:tcPr>
          <w:p>
            <w:pPr>
              <w:spacing w:after="0" w:before="0"/>
              <w:jc w:val="left"/>
            </w:pPr>
            <w:r>
              <w:rPr>
                <w:b/>
                <w:color w:val="FFFFFF"/>
                <w:sz w:val="19"/>
              </w:rPr>
              <w:t>District</w:t>
            </w:r>
          </w:p>
        </w:tc>
        <w:tc>
          <w:tcPr>
            <w:tcW w:type="dxa" w:w="1872"/>
            <w:shd w:fill="8B3A1C"/>
            <w:tcMar>
              <w:top w:w="100" w:type="dxa"/>
              <w:bottom w:w="100" w:type="dxa"/>
              <w:left w:w="120" w:type="dxa"/>
              <w:right w:w="120" w:type="dxa"/>
            </w:tcMar>
          </w:tcPr>
          <w:p>
            <w:pPr>
              <w:spacing w:after="0" w:before="0"/>
              <w:jc w:val="left"/>
            </w:pPr>
            <w:r>
              <w:rPr>
                <w:b/>
                <w:color w:val="FFFFFF"/>
                <w:sz w:val="19"/>
              </w:rPr>
              <w:t>Headquarters</w:t>
            </w:r>
          </w:p>
        </w:tc>
        <w:tc>
          <w:tcPr>
            <w:tcW w:type="dxa" w:w="1872"/>
            <w:shd w:fill="8B3A1C"/>
            <w:tcMar>
              <w:top w:w="100" w:type="dxa"/>
              <w:bottom w:w="100" w:type="dxa"/>
              <w:left w:w="120" w:type="dxa"/>
              <w:right w:w="120" w:type="dxa"/>
            </w:tcMar>
          </w:tcPr>
          <w:p>
            <w:pPr>
              <w:spacing w:after="0" w:before="0"/>
              <w:jc w:val="left"/>
            </w:pPr>
            <w:r>
              <w:rPr>
                <w:b/>
                <w:color w:val="FFFFFF"/>
                <w:sz w:val="19"/>
              </w:rPr>
              <w:t>Area (sq km)</w:t>
            </w:r>
          </w:p>
        </w:tc>
        <w:tc>
          <w:tcPr>
            <w:tcW w:type="dxa" w:w="1872"/>
            <w:shd w:fill="8B3A1C"/>
            <w:tcMar>
              <w:top w:w="100" w:type="dxa"/>
              <w:bottom w:w="100" w:type="dxa"/>
              <w:left w:w="120" w:type="dxa"/>
              <w:right w:w="120" w:type="dxa"/>
            </w:tcMar>
          </w:tcPr>
          <w:p>
            <w:pPr>
              <w:spacing w:after="0" w:before="0"/>
              <w:jc w:val="left"/>
            </w:pPr>
            <w:r>
              <w:rPr>
                <w:b/>
                <w:color w:val="FFFFFF"/>
                <w:sz w:val="19"/>
              </w:rPr>
              <w:t>Key River Basin</w:t>
            </w:r>
          </w:p>
        </w:tc>
        <w:tc>
          <w:tcPr>
            <w:tcW w:type="dxa" w:w="1872"/>
            <w:shd w:fill="8B3A1C"/>
            <w:tcMar>
              <w:top w:w="100" w:type="dxa"/>
              <w:bottom w:w="100" w:type="dxa"/>
              <w:left w:w="120" w:type="dxa"/>
              <w:right w:w="120" w:type="dxa"/>
            </w:tcMar>
          </w:tcPr>
          <w:p>
            <w:pPr>
              <w:spacing w:after="0" w:before="0"/>
              <w:jc w:val="left"/>
            </w:pPr>
            <w:r>
              <w:rPr>
                <w:b/>
                <w:color w:val="FFFFFF"/>
                <w:sz w:val="19"/>
              </w:rPr>
              <w:t>Dominant Indigenous Groups</w:t>
            </w:r>
          </w:p>
        </w:tc>
      </w:tr>
      <w:tr>
        <w:tc>
          <w:tcPr>
            <w:tcW w:type="dxa" w:w="1872"/>
            <w:shd w:fill="FFFFFF"/>
            <w:tcMar>
              <w:top w:w="80" w:type="dxa"/>
              <w:bottom w:w="80" w:type="dxa"/>
              <w:left w:w="120" w:type="dxa"/>
              <w:right w:w="120" w:type="dxa"/>
            </w:tcMar>
          </w:tcPr>
          <w:p>
            <w:pPr>
              <w:spacing w:after="0" w:before="0"/>
            </w:pPr>
            <w:r>
              <w:rPr>
                <w:color w:val="1A252F"/>
                <w:sz w:val="18"/>
              </w:rPr>
              <w:t>Bastar</w:t>
            </w:r>
          </w:p>
        </w:tc>
        <w:tc>
          <w:tcPr>
            <w:tcW w:type="dxa" w:w="1872"/>
            <w:shd w:fill="FFFFFF"/>
            <w:tcMar>
              <w:top w:w="80" w:type="dxa"/>
              <w:bottom w:w="80" w:type="dxa"/>
              <w:left w:w="120" w:type="dxa"/>
              <w:right w:w="120" w:type="dxa"/>
            </w:tcMar>
          </w:tcPr>
          <w:p>
            <w:pPr>
              <w:spacing w:after="0" w:before="0"/>
            </w:pPr>
            <w:r>
              <w:rPr>
                <w:color w:val="1A252F"/>
                <w:sz w:val="18"/>
              </w:rPr>
              <w:t>Jagdalpur</w:t>
            </w:r>
          </w:p>
        </w:tc>
        <w:tc>
          <w:tcPr>
            <w:tcW w:type="dxa" w:w="1872"/>
            <w:shd w:fill="FFFFFF"/>
            <w:tcMar>
              <w:top w:w="80" w:type="dxa"/>
              <w:bottom w:w="80" w:type="dxa"/>
              <w:left w:w="120" w:type="dxa"/>
              <w:right w:w="120" w:type="dxa"/>
            </w:tcMar>
          </w:tcPr>
          <w:p>
            <w:pPr>
              <w:spacing w:after="0" w:before="0"/>
            </w:pPr>
            <w:r>
              <w:rPr>
                <w:color w:val="1A252F"/>
                <w:sz w:val="18"/>
              </w:rPr>
              <w:t>4,029</w:t>
            </w:r>
          </w:p>
        </w:tc>
        <w:tc>
          <w:tcPr>
            <w:tcW w:type="dxa" w:w="1872"/>
            <w:shd w:fill="FFFFFF"/>
            <w:tcMar>
              <w:top w:w="80" w:type="dxa"/>
              <w:bottom w:w="80" w:type="dxa"/>
              <w:left w:w="120" w:type="dxa"/>
              <w:right w:w="120" w:type="dxa"/>
            </w:tcMar>
          </w:tcPr>
          <w:p>
            <w:pPr>
              <w:spacing w:after="0" w:before="0"/>
            </w:pPr>
            <w:r>
              <w:rPr>
                <w:color w:val="1A252F"/>
                <w:sz w:val="18"/>
              </w:rPr>
              <w:t>Indravati</w:t>
            </w:r>
          </w:p>
        </w:tc>
        <w:tc>
          <w:tcPr>
            <w:tcW w:type="dxa" w:w="1872"/>
            <w:shd w:fill="FFFFFF"/>
            <w:tcMar>
              <w:top w:w="80" w:type="dxa"/>
              <w:bottom w:w="80" w:type="dxa"/>
              <w:left w:w="120" w:type="dxa"/>
              <w:right w:w="120" w:type="dxa"/>
            </w:tcMar>
          </w:tcPr>
          <w:p>
            <w:pPr>
              <w:spacing w:after="0" w:before="0"/>
            </w:pPr>
            <w:r>
              <w:rPr>
                <w:color w:val="1A252F"/>
                <w:sz w:val="18"/>
              </w:rPr>
              <w:t>Muria, Maria, Bhatra, Halba, Dhurwa</w:t>
            </w:r>
          </w:p>
        </w:tc>
      </w:tr>
      <w:tr>
        <w:tc>
          <w:tcPr>
            <w:tcW w:type="dxa" w:w="1872"/>
            <w:shd w:fill="F9FBF9"/>
            <w:tcMar>
              <w:top w:w="80" w:type="dxa"/>
              <w:bottom w:w="80" w:type="dxa"/>
              <w:left w:w="120" w:type="dxa"/>
              <w:right w:w="120" w:type="dxa"/>
            </w:tcMar>
          </w:tcPr>
          <w:p>
            <w:pPr>
              <w:spacing w:after="0" w:before="0"/>
            </w:pPr>
            <w:r>
              <w:rPr>
                <w:color w:val="1A252F"/>
                <w:sz w:val="18"/>
              </w:rPr>
              <w:t>Dantewada</w:t>
            </w:r>
          </w:p>
        </w:tc>
        <w:tc>
          <w:tcPr>
            <w:tcW w:type="dxa" w:w="1872"/>
            <w:shd w:fill="F9FBF9"/>
            <w:tcMar>
              <w:top w:w="80" w:type="dxa"/>
              <w:bottom w:w="80" w:type="dxa"/>
              <w:left w:w="120" w:type="dxa"/>
              <w:right w:w="120" w:type="dxa"/>
            </w:tcMar>
          </w:tcPr>
          <w:p>
            <w:pPr>
              <w:spacing w:after="0" w:before="0"/>
            </w:pPr>
            <w:r>
              <w:rPr>
                <w:color w:val="1A252F"/>
                <w:sz w:val="18"/>
              </w:rPr>
              <w:t>Dantewada</w:t>
            </w:r>
          </w:p>
        </w:tc>
        <w:tc>
          <w:tcPr>
            <w:tcW w:type="dxa" w:w="1872"/>
            <w:shd w:fill="F9FBF9"/>
            <w:tcMar>
              <w:top w:w="80" w:type="dxa"/>
              <w:bottom w:w="80" w:type="dxa"/>
              <w:left w:w="120" w:type="dxa"/>
              <w:right w:w="120" w:type="dxa"/>
            </w:tcMar>
          </w:tcPr>
          <w:p>
            <w:pPr>
              <w:spacing w:after="0" w:before="0"/>
            </w:pPr>
            <w:r>
              <w:rPr>
                <w:color w:val="1A252F"/>
                <w:sz w:val="18"/>
              </w:rPr>
              <w:t>3,410</w:t>
            </w:r>
          </w:p>
        </w:tc>
        <w:tc>
          <w:tcPr>
            <w:tcW w:type="dxa" w:w="1872"/>
            <w:shd w:fill="F9FBF9"/>
            <w:tcMar>
              <w:top w:w="80" w:type="dxa"/>
              <w:bottom w:w="80" w:type="dxa"/>
              <w:left w:w="120" w:type="dxa"/>
              <w:right w:w="120" w:type="dxa"/>
            </w:tcMar>
          </w:tcPr>
          <w:p>
            <w:pPr>
              <w:spacing w:after="0" w:before="0"/>
            </w:pPr>
            <w:r>
              <w:rPr>
                <w:color w:val="1A252F"/>
                <w:sz w:val="18"/>
              </w:rPr>
              <w:t>Shankini &amp; Dankini</w:t>
            </w:r>
          </w:p>
        </w:tc>
        <w:tc>
          <w:tcPr>
            <w:tcW w:type="dxa" w:w="1872"/>
            <w:shd w:fill="F9FBF9"/>
            <w:tcMar>
              <w:top w:w="80" w:type="dxa"/>
              <w:bottom w:w="80" w:type="dxa"/>
              <w:left w:w="120" w:type="dxa"/>
              <w:right w:w="120" w:type="dxa"/>
            </w:tcMar>
          </w:tcPr>
          <w:p>
            <w:pPr>
              <w:spacing w:after="0" w:before="0"/>
            </w:pPr>
            <w:r>
              <w:rPr>
                <w:color w:val="1A252F"/>
                <w:sz w:val="18"/>
              </w:rPr>
              <w:t>Dandami Maria (Bison Horn), Gond, Halba</w:t>
            </w:r>
          </w:p>
        </w:tc>
      </w:tr>
      <w:tr>
        <w:tc>
          <w:tcPr>
            <w:tcW w:type="dxa" w:w="1872"/>
            <w:shd w:fill="FFFFFF"/>
            <w:tcMar>
              <w:top w:w="80" w:type="dxa"/>
              <w:bottom w:w="80" w:type="dxa"/>
              <w:left w:w="120" w:type="dxa"/>
              <w:right w:w="120" w:type="dxa"/>
            </w:tcMar>
          </w:tcPr>
          <w:p>
            <w:pPr>
              <w:spacing w:after="0" w:before="0"/>
            </w:pPr>
            <w:r>
              <w:rPr>
                <w:color w:val="1A252F"/>
                <w:sz w:val="18"/>
              </w:rPr>
              <w:t>Kondagaon</w:t>
            </w:r>
          </w:p>
        </w:tc>
        <w:tc>
          <w:tcPr>
            <w:tcW w:type="dxa" w:w="1872"/>
            <w:shd w:fill="FFFFFF"/>
            <w:tcMar>
              <w:top w:w="80" w:type="dxa"/>
              <w:bottom w:w="80" w:type="dxa"/>
              <w:left w:w="120" w:type="dxa"/>
              <w:right w:w="120" w:type="dxa"/>
            </w:tcMar>
          </w:tcPr>
          <w:p>
            <w:pPr>
              <w:spacing w:after="0" w:before="0"/>
            </w:pPr>
            <w:r>
              <w:rPr>
                <w:color w:val="1A252F"/>
                <w:sz w:val="18"/>
              </w:rPr>
              <w:t>Kondagaon</w:t>
            </w:r>
          </w:p>
        </w:tc>
        <w:tc>
          <w:tcPr>
            <w:tcW w:type="dxa" w:w="1872"/>
            <w:shd w:fill="FFFFFF"/>
            <w:tcMar>
              <w:top w:w="80" w:type="dxa"/>
              <w:bottom w:w="80" w:type="dxa"/>
              <w:left w:w="120" w:type="dxa"/>
              <w:right w:w="120" w:type="dxa"/>
            </w:tcMar>
          </w:tcPr>
          <w:p>
            <w:pPr>
              <w:spacing w:after="0" w:before="0"/>
            </w:pPr>
            <w:r>
              <w:rPr>
                <w:color w:val="1A252F"/>
                <w:sz w:val="18"/>
              </w:rPr>
              <w:t>7,768</w:t>
            </w:r>
          </w:p>
        </w:tc>
        <w:tc>
          <w:tcPr>
            <w:tcW w:type="dxa" w:w="1872"/>
            <w:shd w:fill="FFFFFF"/>
            <w:tcMar>
              <w:top w:w="80" w:type="dxa"/>
              <w:bottom w:w="80" w:type="dxa"/>
              <w:left w:w="120" w:type="dxa"/>
              <w:right w:w="120" w:type="dxa"/>
            </w:tcMar>
          </w:tcPr>
          <w:p>
            <w:pPr>
              <w:spacing w:after="0" w:before="0"/>
            </w:pPr>
            <w:r>
              <w:rPr>
                <w:color w:val="1A252F"/>
                <w:sz w:val="18"/>
              </w:rPr>
              <w:t>Narangi / Indravati</w:t>
            </w:r>
          </w:p>
        </w:tc>
        <w:tc>
          <w:tcPr>
            <w:tcW w:type="dxa" w:w="1872"/>
            <w:shd w:fill="FFFFFF"/>
            <w:tcMar>
              <w:top w:w="80" w:type="dxa"/>
              <w:bottom w:w="80" w:type="dxa"/>
              <w:left w:w="120" w:type="dxa"/>
              <w:right w:w="120" w:type="dxa"/>
            </w:tcMar>
          </w:tcPr>
          <w:p>
            <w:pPr>
              <w:spacing w:after="0" w:before="0"/>
            </w:pPr>
            <w:r>
              <w:rPr>
                <w:color w:val="1A252F"/>
                <w:sz w:val="18"/>
              </w:rPr>
              <w:t>Muria, Halba, Ghadwa artisans</w:t>
            </w:r>
          </w:p>
        </w:tc>
      </w:tr>
      <w:tr>
        <w:tc>
          <w:tcPr>
            <w:tcW w:type="dxa" w:w="1872"/>
            <w:shd w:fill="F9FBF9"/>
            <w:tcMar>
              <w:top w:w="80" w:type="dxa"/>
              <w:bottom w:w="80" w:type="dxa"/>
              <w:left w:w="120" w:type="dxa"/>
              <w:right w:w="120" w:type="dxa"/>
            </w:tcMar>
          </w:tcPr>
          <w:p>
            <w:pPr>
              <w:spacing w:after="0" w:before="0"/>
            </w:pPr>
            <w:r>
              <w:rPr>
                <w:color w:val="1A252F"/>
                <w:sz w:val="18"/>
              </w:rPr>
              <w:t>Narayanpur</w:t>
            </w:r>
          </w:p>
        </w:tc>
        <w:tc>
          <w:tcPr>
            <w:tcW w:type="dxa" w:w="1872"/>
            <w:shd w:fill="F9FBF9"/>
            <w:tcMar>
              <w:top w:w="80" w:type="dxa"/>
              <w:bottom w:w="80" w:type="dxa"/>
              <w:left w:w="120" w:type="dxa"/>
              <w:right w:w="120" w:type="dxa"/>
            </w:tcMar>
          </w:tcPr>
          <w:p>
            <w:pPr>
              <w:spacing w:after="0" w:before="0"/>
            </w:pPr>
            <w:r>
              <w:rPr>
                <w:color w:val="1A252F"/>
                <w:sz w:val="18"/>
              </w:rPr>
              <w:t>Narayanpur</w:t>
            </w:r>
          </w:p>
        </w:tc>
        <w:tc>
          <w:tcPr>
            <w:tcW w:type="dxa" w:w="1872"/>
            <w:shd w:fill="F9FBF9"/>
            <w:tcMar>
              <w:top w:w="80" w:type="dxa"/>
              <w:bottom w:w="80" w:type="dxa"/>
              <w:left w:w="120" w:type="dxa"/>
              <w:right w:w="120" w:type="dxa"/>
            </w:tcMar>
          </w:tcPr>
          <w:p>
            <w:pPr>
              <w:spacing w:after="0" w:before="0"/>
            </w:pPr>
            <w:r>
              <w:rPr>
                <w:color w:val="1A252F"/>
                <w:sz w:val="18"/>
              </w:rPr>
              <w:t>6,640</w:t>
            </w:r>
          </w:p>
        </w:tc>
        <w:tc>
          <w:tcPr>
            <w:tcW w:type="dxa" w:w="1872"/>
            <w:shd w:fill="F9FBF9"/>
            <w:tcMar>
              <w:top w:w="80" w:type="dxa"/>
              <w:bottom w:w="80" w:type="dxa"/>
              <w:left w:w="120" w:type="dxa"/>
              <w:right w:w="120" w:type="dxa"/>
            </w:tcMar>
          </w:tcPr>
          <w:p>
            <w:pPr>
              <w:spacing w:after="0" w:before="0"/>
            </w:pPr>
            <w:r>
              <w:rPr>
                <w:color w:val="1A252F"/>
                <w:sz w:val="18"/>
              </w:rPr>
              <w:t>Indravati / Kotri</w:t>
            </w:r>
          </w:p>
        </w:tc>
        <w:tc>
          <w:tcPr>
            <w:tcW w:type="dxa" w:w="1872"/>
            <w:shd w:fill="F9FBF9"/>
            <w:tcMar>
              <w:top w:w="80" w:type="dxa"/>
              <w:bottom w:w="80" w:type="dxa"/>
              <w:left w:w="120" w:type="dxa"/>
              <w:right w:w="120" w:type="dxa"/>
            </w:tcMar>
          </w:tcPr>
          <w:p>
            <w:pPr>
              <w:spacing w:after="0" w:before="0"/>
            </w:pPr>
            <w:r>
              <w:rPr>
                <w:color w:val="1A252F"/>
                <w:sz w:val="18"/>
              </w:rPr>
              <w:t>Hill Maria (Abujhmaria), Muria, Gond</w:t>
            </w:r>
          </w:p>
        </w:tc>
      </w:tr>
      <w:tr>
        <w:tc>
          <w:tcPr>
            <w:tcW w:type="dxa" w:w="1872"/>
            <w:shd w:fill="FFFFFF"/>
            <w:tcMar>
              <w:top w:w="80" w:type="dxa"/>
              <w:bottom w:w="80" w:type="dxa"/>
              <w:left w:w="120" w:type="dxa"/>
              <w:right w:w="120" w:type="dxa"/>
            </w:tcMar>
          </w:tcPr>
          <w:p>
            <w:pPr>
              <w:spacing w:after="0" w:before="0"/>
            </w:pPr>
            <w:r>
              <w:rPr>
                <w:color w:val="1A252F"/>
                <w:sz w:val="18"/>
              </w:rPr>
              <w:t>Bijapur</w:t>
            </w:r>
          </w:p>
        </w:tc>
        <w:tc>
          <w:tcPr>
            <w:tcW w:type="dxa" w:w="1872"/>
            <w:shd w:fill="FFFFFF"/>
            <w:tcMar>
              <w:top w:w="80" w:type="dxa"/>
              <w:bottom w:w="80" w:type="dxa"/>
              <w:left w:w="120" w:type="dxa"/>
              <w:right w:w="120" w:type="dxa"/>
            </w:tcMar>
          </w:tcPr>
          <w:p>
            <w:pPr>
              <w:spacing w:after="0" w:before="0"/>
            </w:pPr>
            <w:r>
              <w:rPr>
                <w:color w:val="1A252F"/>
                <w:sz w:val="18"/>
              </w:rPr>
              <w:t>Bijapur</w:t>
            </w:r>
          </w:p>
        </w:tc>
        <w:tc>
          <w:tcPr>
            <w:tcW w:type="dxa" w:w="1872"/>
            <w:shd w:fill="FFFFFF"/>
            <w:tcMar>
              <w:top w:w="80" w:type="dxa"/>
              <w:bottom w:w="80" w:type="dxa"/>
              <w:left w:w="120" w:type="dxa"/>
              <w:right w:w="120" w:type="dxa"/>
            </w:tcMar>
          </w:tcPr>
          <w:p>
            <w:pPr>
              <w:spacing w:after="0" w:before="0"/>
            </w:pPr>
            <w:r>
              <w:rPr>
                <w:color w:val="1A252F"/>
                <w:sz w:val="18"/>
              </w:rPr>
              <w:t>6,555</w:t>
            </w:r>
          </w:p>
        </w:tc>
        <w:tc>
          <w:tcPr>
            <w:tcW w:type="dxa" w:w="1872"/>
            <w:shd w:fill="FFFFFF"/>
            <w:tcMar>
              <w:top w:w="80" w:type="dxa"/>
              <w:bottom w:w="80" w:type="dxa"/>
              <w:left w:w="120" w:type="dxa"/>
              <w:right w:w="120" w:type="dxa"/>
            </w:tcMar>
          </w:tcPr>
          <w:p>
            <w:pPr>
              <w:spacing w:after="0" w:before="0"/>
            </w:pPr>
            <w:r>
              <w:rPr>
                <w:color w:val="1A252F"/>
                <w:sz w:val="18"/>
              </w:rPr>
              <w:t>Indravati / Talperu</w:t>
            </w:r>
          </w:p>
        </w:tc>
        <w:tc>
          <w:tcPr>
            <w:tcW w:type="dxa" w:w="1872"/>
            <w:shd w:fill="FFFFFF"/>
            <w:tcMar>
              <w:top w:w="80" w:type="dxa"/>
              <w:bottom w:w="80" w:type="dxa"/>
              <w:left w:w="120" w:type="dxa"/>
              <w:right w:w="120" w:type="dxa"/>
            </w:tcMar>
          </w:tcPr>
          <w:p>
            <w:pPr>
              <w:spacing w:after="0" w:before="0"/>
            </w:pPr>
            <w:r>
              <w:rPr>
                <w:color w:val="1A252F"/>
                <w:sz w:val="18"/>
              </w:rPr>
              <w:t>Dandami Maria, Dorla, Gond</w:t>
            </w:r>
          </w:p>
        </w:tc>
      </w:tr>
      <w:tr>
        <w:tc>
          <w:tcPr>
            <w:tcW w:type="dxa" w:w="1872"/>
            <w:shd w:fill="F9FBF9"/>
            <w:tcMar>
              <w:top w:w="80" w:type="dxa"/>
              <w:bottom w:w="80" w:type="dxa"/>
              <w:left w:w="120" w:type="dxa"/>
              <w:right w:w="120" w:type="dxa"/>
            </w:tcMar>
          </w:tcPr>
          <w:p>
            <w:pPr>
              <w:spacing w:after="0" w:before="0"/>
            </w:pPr>
            <w:r>
              <w:rPr>
                <w:color w:val="1A252F"/>
                <w:sz w:val="18"/>
              </w:rPr>
              <w:t>Sukma</w:t>
            </w:r>
          </w:p>
        </w:tc>
        <w:tc>
          <w:tcPr>
            <w:tcW w:type="dxa" w:w="1872"/>
            <w:shd w:fill="F9FBF9"/>
            <w:tcMar>
              <w:top w:w="80" w:type="dxa"/>
              <w:bottom w:w="80" w:type="dxa"/>
              <w:left w:w="120" w:type="dxa"/>
              <w:right w:w="120" w:type="dxa"/>
            </w:tcMar>
          </w:tcPr>
          <w:p>
            <w:pPr>
              <w:spacing w:after="0" w:before="0"/>
            </w:pPr>
            <w:r>
              <w:rPr>
                <w:color w:val="1A252F"/>
                <w:sz w:val="18"/>
              </w:rPr>
              <w:t>Sukma</w:t>
            </w:r>
          </w:p>
        </w:tc>
        <w:tc>
          <w:tcPr>
            <w:tcW w:type="dxa" w:w="1872"/>
            <w:shd w:fill="F9FBF9"/>
            <w:tcMar>
              <w:top w:w="80" w:type="dxa"/>
              <w:bottom w:w="80" w:type="dxa"/>
              <w:left w:w="120" w:type="dxa"/>
              <w:right w:w="120" w:type="dxa"/>
            </w:tcMar>
          </w:tcPr>
          <w:p>
            <w:pPr>
              <w:spacing w:after="0" w:before="0"/>
            </w:pPr>
            <w:r>
              <w:rPr>
                <w:color w:val="1A252F"/>
                <w:sz w:val="18"/>
              </w:rPr>
              <w:t>5,635</w:t>
            </w:r>
          </w:p>
        </w:tc>
        <w:tc>
          <w:tcPr>
            <w:tcW w:type="dxa" w:w="1872"/>
            <w:shd w:fill="F9FBF9"/>
            <w:tcMar>
              <w:top w:w="80" w:type="dxa"/>
              <w:bottom w:w="80" w:type="dxa"/>
              <w:left w:w="120" w:type="dxa"/>
              <w:right w:w="120" w:type="dxa"/>
            </w:tcMar>
          </w:tcPr>
          <w:p>
            <w:pPr>
              <w:spacing w:after="0" w:before="0"/>
            </w:pPr>
            <w:r>
              <w:rPr>
                <w:color w:val="1A252F"/>
                <w:sz w:val="18"/>
              </w:rPr>
              <w:t>Sabari (Kolab)</w:t>
            </w:r>
          </w:p>
        </w:tc>
        <w:tc>
          <w:tcPr>
            <w:tcW w:type="dxa" w:w="1872"/>
            <w:shd w:fill="F9FBF9"/>
            <w:tcMar>
              <w:top w:w="80" w:type="dxa"/>
              <w:bottom w:w="80" w:type="dxa"/>
              <w:left w:w="120" w:type="dxa"/>
              <w:right w:w="120" w:type="dxa"/>
            </w:tcMar>
          </w:tcPr>
          <w:p>
            <w:pPr>
              <w:spacing w:after="0" w:before="0"/>
            </w:pPr>
            <w:r>
              <w:rPr>
                <w:color w:val="1A252F"/>
                <w:sz w:val="18"/>
              </w:rPr>
              <w:t>Dorla, Muria, Dhurwa, Halba</w:t>
            </w:r>
          </w:p>
        </w:tc>
      </w:tr>
      <w:tr>
        <w:tc>
          <w:tcPr>
            <w:tcW w:type="dxa" w:w="1872"/>
            <w:shd w:fill="FFFFFF"/>
            <w:tcMar>
              <w:top w:w="80" w:type="dxa"/>
              <w:bottom w:w="80" w:type="dxa"/>
              <w:left w:w="120" w:type="dxa"/>
              <w:right w:w="120" w:type="dxa"/>
            </w:tcMar>
          </w:tcPr>
          <w:p>
            <w:pPr>
              <w:spacing w:after="0" w:before="0"/>
            </w:pPr>
            <w:r>
              <w:rPr>
                <w:color w:val="1A252F"/>
                <w:sz w:val="18"/>
              </w:rPr>
              <w:t>Kanker</w:t>
            </w:r>
          </w:p>
        </w:tc>
        <w:tc>
          <w:tcPr>
            <w:tcW w:type="dxa" w:w="1872"/>
            <w:shd w:fill="FFFFFF"/>
            <w:tcMar>
              <w:top w:w="80" w:type="dxa"/>
              <w:bottom w:w="80" w:type="dxa"/>
              <w:left w:w="120" w:type="dxa"/>
              <w:right w:w="120" w:type="dxa"/>
            </w:tcMar>
          </w:tcPr>
          <w:p>
            <w:pPr>
              <w:spacing w:after="0" w:before="0"/>
            </w:pPr>
            <w:r>
              <w:rPr>
                <w:color w:val="1A252F"/>
                <w:sz w:val="18"/>
              </w:rPr>
              <w:t>Kanker</w:t>
            </w:r>
          </w:p>
        </w:tc>
        <w:tc>
          <w:tcPr>
            <w:tcW w:type="dxa" w:w="1872"/>
            <w:shd w:fill="FFFFFF"/>
            <w:tcMar>
              <w:top w:w="80" w:type="dxa"/>
              <w:bottom w:w="80" w:type="dxa"/>
              <w:left w:w="120" w:type="dxa"/>
              <w:right w:w="120" w:type="dxa"/>
            </w:tcMar>
          </w:tcPr>
          <w:p>
            <w:pPr>
              <w:spacing w:after="0" w:before="0"/>
            </w:pPr>
            <w:r>
              <w:rPr>
                <w:color w:val="1A252F"/>
                <w:sz w:val="18"/>
              </w:rPr>
              <w:t>5,285</w:t>
            </w:r>
          </w:p>
        </w:tc>
        <w:tc>
          <w:tcPr>
            <w:tcW w:type="dxa" w:w="1872"/>
            <w:shd w:fill="FFFFFF"/>
            <w:tcMar>
              <w:top w:w="80" w:type="dxa"/>
              <w:bottom w:w="80" w:type="dxa"/>
              <w:left w:w="120" w:type="dxa"/>
              <w:right w:w="120" w:type="dxa"/>
            </w:tcMar>
          </w:tcPr>
          <w:p>
            <w:pPr>
              <w:spacing w:after="0" w:before="0"/>
            </w:pPr>
            <w:r>
              <w:rPr>
                <w:color w:val="1A252F"/>
                <w:sz w:val="18"/>
              </w:rPr>
              <w:t>Mahanadi / Dudh</w:t>
            </w:r>
          </w:p>
        </w:tc>
        <w:tc>
          <w:tcPr>
            <w:tcW w:type="dxa" w:w="1872"/>
            <w:shd w:fill="FFFFFF"/>
            <w:tcMar>
              <w:top w:w="80" w:type="dxa"/>
              <w:bottom w:w="80" w:type="dxa"/>
              <w:left w:w="120" w:type="dxa"/>
              <w:right w:w="120" w:type="dxa"/>
            </w:tcMar>
          </w:tcPr>
          <w:p>
            <w:pPr>
              <w:spacing w:after="0" w:before="0"/>
            </w:pPr>
            <w:r>
              <w:rPr>
                <w:color w:val="1A252F"/>
                <w:sz w:val="18"/>
              </w:rPr>
              <w:t>Gond, Halba, Kanwar</w:t>
            </w:r>
          </w:p>
        </w:tc>
      </w:tr>
    </w:tbl>
    <w:p>
      <w:pPr>
        <w:spacing w:after="160"/>
      </w:pPr>
    </w:p>
    <w:p>
      <w:pPr>
        <w:keepNext/>
        <w:spacing w:before="320" w:after="120"/>
      </w:pPr>
      <w:r>
        <w:rPr>
          <w:rFonts w:ascii="Calibri" w:hAnsi="Calibri"/>
          <w:b/>
          <w:color w:val="8B3A1C"/>
          <w:sz w:val="30"/>
        </w:rPr>
        <w:t>2. The Cultural &amp; Spiritual Landscape</w:t>
      </w:r>
    </w:p>
    <w:p>
      <w:r>
        <w:t>Unlike the Sanskritic mainstream of the northern plains, Bastar's cultural fabric is anchored in an animistic, ancestral, and sacred territorial matrix. Village life centers on the 'Devigudi' (village goddess shrine) and the worship of indigenous deities (Anga Dev, Budha Dev, Mawli Mata, Hinglajin, and Sheetla Mata). The supreme regional deity, Goddess Danteshwari, canonized at the confluence of the sacred Shankini and Dankini rivers in Dantewada, embodies a historical syncretism between indigenous tribal guardian deities (Manikeshwari/Mawli) and Kakatiya royal Shakta patronage.</w:t>
      </w:r>
    </w:p>
    <w:tbl>
      <w:tblPr>
        <w:tblW w:type="auto" w:w="0"/>
        <w:jc w:val="center"/>
        <w:tblLook w:firstColumn="1" w:firstRow="1" w:lastColumn="0" w:lastRow="0" w:noHBand="0" w:noVBand="1" w:val="04A0"/>
      </w:tblPr>
      <w:tblGrid>
        <w:gridCol w:w="9360"/>
      </w:tblGrid>
      <w:tr>
        <w:tc>
          <w:tcPr>
            <w:tcW w:type="dxa" w:w="9360"/>
            <w:shd w:fill="FDF6E2"/>
            <w:tcMar>
              <w:top w:w="140" w:type="dxa"/>
              <w:bottom w:w="140" w:type="dxa"/>
              <w:left w:w="180" w:type="dxa"/>
              <w:right w:w="180" w:type="dxa"/>
            </w:tcMar>
            <w:tcBorders>
              <w:left w:val="single" w:sz="24" w:space="0" w:color="8B3A1C"/>
              <w:top w:val="none"/>
              <w:right w:val="none"/>
              <w:bottom w:val="none"/>
            </w:tcBorders>
          </w:tcPr>
          <w:p>
            <w:pPr>
              <w:spacing w:before="0" w:after="80"/>
            </w:pPr>
            <w:r>
              <w:rPr>
                <w:b/>
                <w:color w:val="8B3A1C"/>
                <w:sz w:val="19"/>
              </w:rPr>
              <w:t>[METHODOLOGICAL FRAMEWORK]</w:t>
              <w:br/>
            </w:r>
            <w:r>
              <w:rPr>
                <w:i/>
                <w:color w:val="1A252F"/>
                <w:sz w:val="19"/>
              </w:rPr>
              <w:t>CRITICAL RESEARCH RULE: Bastar culture is not a monolithic monoculture. Traditions differ significantly across ecological zones: the Abujhmad hill forests preserve isolated hunting-gathering and swidden horticultural norms (Hill Maria), the central plateau exhibits youth dormitories (Ghotul among Muria) and metallurgical expertise (Dhokra/Bell Metal among Ghadwas), while the southern riparian valleys connect linguistically and culturally with the Godavari basin (Dorla and Dhurwa).</w:t>
            </w:r>
          </w:p>
        </w:tc>
      </w:tr>
    </w:tbl>
    <w:p>
      <w:pPr>
        <w:spacing w:after="120"/>
      </w:pPr>
    </w:p>
    <w:p>
      <w:pPr>
        <w:keepNext/>
        <w:spacing w:before="320" w:after="120"/>
      </w:pPr>
      <w:r>
        <w:rPr>
          <w:rFonts w:ascii="Calibri" w:hAnsi="Calibri"/>
          <w:b/>
          <w:color w:val="8B3A1C"/>
          <w:sz w:val="30"/>
        </w:rPr>
        <w:t>3. Material Culture and World-Renowned Crafts</w:t>
      </w:r>
    </w:p>
    <w:p>
      <w:r>
        <w:t>Bastar is globally celebrated for its indigenous craft traditions, characterized by raw material extraction directly from the local ecology:</w:t>
        <w:br/>
        <w:t>1. Bastar Dhokra (Bell Metal / Lost Wax Casting): Practiced by the Ghadwa community, utilizing beeswax, red clay, and bronze alloy. Awarded Geographical Indication (GI) status.</w:t>
        <w:br/>
        <w:t>2. Bastar Iron Craft (Lohe Ka Kaam): Practiced by the Lohar/Agariya smiths, recycling scrap iron into expressive ritual and decorative artifacts.</w:t>
        <w:br/>
        <w:t>3. Bastar Wooden Craft: Intricate carving on Teak, Sal, and Shisham by the Badhai artisans, depicting tribal cosmology, wildlife, and Ghotul motifs.</w:t>
        <w:br/>
        <w:t>4. Terracotta Pottery: Votive terracotta shrines, roof tiles, and giant terracotta elephant/bull offerings.</w:t>
      </w:r>
    </w:p>
    <w:p>
      <w:pPr>
        <w:keepNext/>
        <w:spacing w:before="320" w:after="120"/>
      </w:pPr>
      <w:r>
        <w:rPr>
          <w:rFonts w:ascii="Calibri" w:hAnsi="Calibri"/>
          <w:b/>
          <w:color w:val="8B3A1C"/>
          <w:sz w:val="30"/>
        </w:rPr>
        <w:t>4. Ecological and Forest Heritage</w:t>
      </w:r>
    </w:p>
    <w:p>
      <w:r>
        <w:t>The dense tropical moist and dry deciduous forests are dominated by Shorea robusta (Sal), Terminalia tomentosa (Asna), and Dendrocalamus strictus (Bamboo). Forest ecosystems sustain vital Non-Timber Forest Products (NTFP) including Mahua (Madhuca longifolia), Tendu (Diospyros melanoxylon), Tamarind, and Kosa wild silk cocoons. The region houses the pristine Kanger Valley National Park and Indravati National Park, harboring the endangered Wild Water Buffalo (Bubalus arnee) and the Bastar Hill Myna (Gracula religiosa peninsularis).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