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03. Bastar Administrative History</w:t>
      </w:r>
    </w:p>
    <w:p>
      <w:pPr>
        <w:spacing w:before="0" w:after="280"/>
        <w:jc w:val="left"/>
      </w:pPr>
      <w:r>
        <w:rPr>
          <w:rFonts w:ascii="Calibri" w:hAnsi="Calibri"/>
          <w:i/>
          <w:color w:val="2D5A27"/>
          <w:sz w:val="26"/>
        </w:rPr>
        <w:t>Evolution from Princely State to Multi-District Division</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BST-DOC-003</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Historical Bastar Feudatory State &amp; Modern Bastar Division</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Administrative &amp; Political Geography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(National Archives of India, Central Provinces District Gazetteers, Ministry of Home Affairs)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Princely State Administration (Pre-1948)</w:t>
      </w:r>
    </w:p>
    <w:p>
      <w:r>
        <w:t>Under the Kakatiya dynasty, Bastar functioned as a decentralized feudal kingdom divided into 'Parganas' governed by Pargana Manjhis and 'Garas' (clans) led by village headmen (Patels / Gaontias). British indirect rule began formally following the treaty of 1853, with Bastar classified as a Feudatory State under the Central Provinces and Berar. A British Political Agent exercised supervisory control, frequently intervening during successions and tribal revolts.</w:t>
      </w:r>
    </w:p>
    <w:p>
      <w:pPr>
        <w:keepNext/>
        <w:spacing w:before="240" w:after="80"/>
      </w:pPr>
      <w:r>
        <w:rPr>
          <w:rFonts w:ascii="Calibri" w:hAnsi="Calibri"/>
          <w:b/>
          <w:color w:val="2D5A27"/>
          <w:sz w:val="25"/>
        </w:rPr>
        <w:t>2. Integration into the Indian Union and Subsequent Reorganizations</w:t>
      </w:r>
    </w:p>
    <w:p>
      <w:r>
        <w:t>Maharaja Pravir Chandra Bhanj Deo signed the Instrument of Accession on January 1, 1948, integrating Bastar into the Central Provinces and Berar (later Madhya Pradesh in 1956). In 1948, Bastar State and Kanker State were merged to form Bastar District, the largest single district in India (39,114 sq km), larger than the state of Kerala or Belgium.</w:t>
        <w:br/>
        <w:br/>
        <w:t>Key administrative bifurcations:</w:t>
        <w:br/>
        <w:t>• 1998: Bastar district was trifurcated by the Madhya Pradesh government into Bastar (Jagdalpur), Dantewada (Dakshin Bastar), and Kanker (Uttar Bastar).</w:t>
        <w:br/>
        <w:t>• November 1, 2000: Formation of the state of Chhattisgarh under the Madhya Pradesh Reorganisation Act.</w:t>
        <w:br/>
        <w:t>• 2007: Creation of Bijapur (carved from Dantewada) and Narayanpur (carved from Bastar) districts.</w:t>
        <w:br/>
        <w:t>• 2012: Creation of Kondagaon (carved from Bastar) and Sukma (carved from Dantewada) districts.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