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104. Bastar Source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Authoritative Source Registry: Tier 1 to Tier 4 Scholarly, Archival &amp; Epigraphic Citations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Pan-Bastar Historical &amp; Cultural Literature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Source Registry, Bibliography &amp; Historiographical Database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(Rigorous Source Tiering &amp; Critical Bibliographic Metadata)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Source Tiering Methodology</w:t>
      </w:r>
    </w:p>
    <w:p>
      <w:r>
        <w:t>Sources are classified into four rigorous evidential tiers:</w:t>
        <w:br/>
        <w:t>• Tier 1: Government Gazetteers, Epigraphia Indica, Census Reports, Archaeological Survey of India (ASI) reports, Constitution &amp; Statutory Acts.</w:t>
        <w:br/>
        <w:t>• Tier 2: Peer-reviewed academic journals, University presses, seminal anthropological monographs (Elwin, Grigson, Fürer-Haimendorf).</w:t>
        <w:br/>
        <w:t>• Tier 3: Reputable museums, Sangeet Natak Akademi archives, Crafts Council of India monographs.</w:t>
        <w:br/>
        <w:t>• Tier 4: Established national journalism and verified field interviews.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Master Bibliographical Database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Author / Body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Title / Publication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Reliability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Claims Supported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Verrier Elwin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Muria and Their Ghotul (Oxford University Press)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1947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social organization, Ghotul structure, folklore, songs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W.V. Grigson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Maria Gonds of Bastar (Oxford University Press)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1938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Hill Maria &amp; Dandami Maria ethnography, customary law, Penda farming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E.A. de Brett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Central Provinces Gazetteers: Chhattisgarh Feudatory States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1909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Princely state administration, geography, revenue, 1910 Bhumkal background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SRC-004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Survey of India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Epigraphia Indica (Vols. IX, X, XXVIII - Chakrakotta Inscriptions)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1908-58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Nala and Chhindaka Naga dynasties, Barsur &amp; Kuruspal stone inscriptions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Pravir Chandra Bhanj Deo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 Take This Word / Kakatiya Genealogies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1965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succession, Bastar Dussehra rituals, tribal-monarch relationship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T. Burrow &amp; M.B. Emeneau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Parji Language: A Dravidian Language of Bastar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1953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Dhurwa/Parji linguistic morphology, phonology, and Dravidian classification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Anthropological Survey of India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People of India: Chhattisgarh State Vol.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Demographic, kinship, and cultural profiles of 12 Bastar communities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Geographical Indications Registry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Application No. 82, 83, 84 Dossiers (Dhokra, Iron, Wood)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Technical artisan processes, materials, GI boundaries for Bastar crafts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SRC-009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Shankar Tiwari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Karst Caves and Subterranean Fauna of Kanger Valley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1978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Speleology of Kutumsar, Kailash, and Dandak caves; troglobitic adaptations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SRC-010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Ministry of Tribal Affairs GOI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Scheduled Tribes and Other Forest Dwellers Act (FRA 2006)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Statutory IFR and CFRR land tenure rights and Gram Sabha jurisdiction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