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108. Bastar Cultural Preservation Recommendations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Actionable Policy Blueprint: Digital Archives, IPR Enforcement, and Community Stewardship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Heritage Policy Blueprint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Policy Recommendations, Cultural Preservation &amp; Sustainable Development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(Multi-Stakeholder Synthesis: Govt, Academia, Grassroots)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Strategic Heritage Preservation Recommendations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Policy Pillar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Target Area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Specific Strategic Intervention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Implementing Agency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1. IPR &amp; Anti-Counterfeit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Dhokra &amp; Iron Craft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QR-code GI authentication tags on every authentic artisan product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Ministry of MSME &amp; Crafts Council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2. Linguistic Safeguarding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Parji &amp; Gondi Languages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Multilingual primary school primers and digital audio archives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Education Dept &amp; TRI Raipur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3. Ecological Protection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&amp; Karst Caves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Strict daily tourist caps and eco-development committee revenue share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Forest Dept &amp; Kanger NP Authority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4. Architectural Restoration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&amp; Dholkal Monuments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Laser scanning, structural stone grouting, and interpretive signage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Survey of India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5. Living Heritage Support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Pradhan Bards &amp; Dussehra Artisans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Lifetime pensions and annual national master artist fellowships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Ministry of Culture / Sangeet Natak Akademi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