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8B3A1C"/>
          <w:sz w:val="44"/>
        </w:rPr>
        <w:t>10. Gond Heritage and History</w:t>
      </w:r>
    </w:p>
    <w:p>
      <w:pPr>
        <w:spacing w:before="0" w:after="280"/>
        <w:jc w:val="left"/>
      </w:pPr>
      <w:r>
        <w:rPr>
          <w:rFonts w:ascii="Calibri" w:hAnsi="Calibri"/>
          <w:i/>
          <w:color w:val="2D5A27"/>
          <w:sz w:val="26"/>
        </w:rPr>
        <w:t>The Koyatur Universe: Cosmology, Phratries, and Historical Trajectory</w:t>
      </w:r>
    </w:p>
    <w:tbl>
      <w:tblPr>
        <w:tblW w:type="auto" w:w="0"/>
        <w:jc w:val="center"/>
        <w:tblLook w:firstColumn="1" w:firstRow="1" w:lastColumn="0" w:lastRow="0" w:noHBand="0" w:noVBand="1" w:val="04A0"/>
        <w:tblBorders>
          <w:top w:val="single" w:sz="8" w:space="0" w:color="C59B27"/>
          <w:bottom w:val="single" w:sz="8" w:space="0" w:color="C59B27"/>
          <w:insideH w:val="single" w:sz="8" w:space="0" w:color="C59B27"/>
          <w:insideV w:val="none"/>
          <w:left w:val="none"/>
          <w:right w:val="none"/>
        </w:tblBorders>
      </w:tblPr>
      <w:tblGrid>
        <w:gridCol w:w="4680"/>
        <w:gridCol w:w="4680"/>
      </w:tblGrid>
      <w:tr>
        <w:tc>
          <w:tcPr>
            <w:tcW w:type="dxa" w:w="3168"/>
            <w:shd w:fill="FDF8EE"/>
            <w:tcMar>
              <w:top w:w="80" w:type="dxa"/>
              <w:bottom w:w="80" w:type="dxa"/>
              <w:left w:w="120" w:type="dxa"/>
              <w:right w:w="120" w:type="dxa"/>
            </w:tcMar>
          </w:tcPr>
          <w:p>
            <w:pPr>
              <w:spacing w:after="0" w:before="0"/>
            </w:pPr>
            <w:r>
              <w:rPr>
                <w:b/>
                <w:color w:val="8B3A1C"/>
                <w:sz w:val="19"/>
              </w:rPr>
              <w:t>Document ID</w:t>
            </w:r>
          </w:p>
        </w:tc>
        <w:tc>
          <w:tcPr>
            <w:tcW w:type="dxa" w:w="6192"/>
            <w:shd w:fill="FFFFFF"/>
            <w:tcMar>
              <w:top w:w="80" w:type="dxa"/>
              <w:bottom w:w="80" w:type="dxa"/>
              <w:left w:w="120" w:type="dxa"/>
              <w:right w:w="120" w:type="dxa"/>
            </w:tcMar>
          </w:tcPr>
          <w:p>
            <w:pPr>
              <w:spacing w:after="0" w:before="0"/>
            </w:pPr>
            <w:r>
              <w:rPr>
                <w:color w:val="1A252F"/>
                <w:sz w:val="19"/>
              </w:rPr>
              <w:t>BST-DOC-010</w:t>
            </w:r>
          </w:p>
        </w:tc>
      </w:tr>
      <w:tr>
        <w:tc>
          <w:tcPr>
            <w:tcW w:type="dxa" w:w="3168"/>
            <w:shd w:fill="FDF8EE"/>
            <w:tcMar>
              <w:top w:w="80" w:type="dxa"/>
              <w:bottom w:w="80" w:type="dxa"/>
              <w:left w:w="120" w:type="dxa"/>
              <w:right w:w="120" w:type="dxa"/>
            </w:tcMar>
          </w:tcPr>
          <w:p>
            <w:pPr>
              <w:spacing w:after="0" w:before="0"/>
            </w:pPr>
            <w:r>
              <w:rPr>
                <w:b/>
                <w:color w:val="8B3A1C"/>
                <w:sz w:val="19"/>
              </w:rPr>
              <w:t>Geographic Scope</w:t>
            </w:r>
          </w:p>
        </w:tc>
        <w:tc>
          <w:tcPr>
            <w:tcW w:type="dxa" w:w="6192"/>
            <w:shd w:fill="FFFFFF"/>
            <w:tcMar>
              <w:top w:w="80" w:type="dxa"/>
              <w:bottom w:w="80" w:type="dxa"/>
              <w:left w:w="120" w:type="dxa"/>
              <w:right w:w="120" w:type="dxa"/>
            </w:tcMar>
          </w:tcPr>
          <w:p>
            <w:pPr>
              <w:spacing w:after="0" w:before="0"/>
            </w:pPr>
            <w:r>
              <w:rPr>
                <w:color w:val="1A252F"/>
                <w:sz w:val="19"/>
              </w:rPr>
              <w:t>Central India &amp; Bastar Division (Gondwana Cultural Zone)</w:t>
            </w:r>
          </w:p>
        </w:tc>
      </w:tr>
      <w:tr>
        <w:tc>
          <w:tcPr>
            <w:tcW w:type="dxa" w:w="3168"/>
            <w:shd w:fill="FDF8EE"/>
            <w:tcMar>
              <w:top w:w="80" w:type="dxa"/>
              <w:bottom w:w="80" w:type="dxa"/>
              <w:left w:w="120" w:type="dxa"/>
              <w:right w:w="120" w:type="dxa"/>
            </w:tcMar>
          </w:tcPr>
          <w:p>
            <w:pPr>
              <w:spacing w:after="0" w:before="0"/>
            </w:pPr>
            <w:r>
              <w:rPr>
                <w:b/>
                <w:color w:val="8B3A1C"/>
                <w:sz w:val="19"/>
              </w:rPr>
              <w:t>Primary Classification</w:t>
            </w:r>
          </w:p>
        </w:tc>
        <w:tc>
          <w:tcPr>
            <w:tcW w:type="dxa" w:w="6192"/>
            <w:shd w:fill="FFFFFF"/>
            <w:tcMar>
              <w:top w:w="80" w:type="dxa"/>
              <w:bottom w:w="80" w:type="dxa"/>
              <w:left w:w="120" w:type="dxa"/>
              <w:right w:w="120" w:type="dxa"/>
            </w:tcMar>
          </w:tcPr>
          <w:p>
            <w:pPr>
              <w:spacing w:after="0" w:before="0"/>
            </w:pPr>
            <w:r>
              <w:rPr>
                <w:color w:val="1A252F"/>
                <w:sz w:val="19"/>
              </w:rPr>
              <w:t>Cultural Anthropology, Ethnography &amp; Indigenous History</w:t>
            </w:r>
          </w:p>
        </w:tc>
      </w:tr>
      <w:tr>
        <w:tc>
          <w:tcPr>
            <w:tcW w:type="dxa" w:w="3168"/>
            <w:shd w:fill="FDF8EE"/>
            <w:tcMar>
              <w:top w:w="80" w:type="dxa"/>
              <w:bottom w:w="80" w:type="dxa"/>
              <w:left w:w="120" w:type="dxa"/>
              <w:right w:w="120" w:type="dxa"/>
            </w:tcMar>
          </w:tcPr>
          <w:p>
            <w:pPr>
              <w:spacing w:after="0" w:before="0"/>
            </w:pPr>
            <w:r>
              <w:rPr>
                <w:b/>
                <w:color w:val="8B3A1C"/>
                <w:sz w:val="19"/>
              </w:rPr>
              <w:t>Confidence Level</w:t>
            </w:r>
          </w:p>
        </w:tc>
        <w:tc>
          <w:tcPr>
            <w:tcW w:type="dxa" w:w="6192"/>
            <w:shd w:fill="FFFFFF"/>
            <w:tcMar>
              <w:top w:w="80" w:type="dxa"/>
              <w:bottom w:w="80" w:type="dxa"/>
              <w:left w:w="120" w:type="dxa"/>
              <w:right w:w="120" w:type="dxa"/>
            </w:tcMar>
          </w:tcPr>
          <w:p>
            <w:pPr>
              <w:spacing w:after="0" w:before="0"/>
            </w:pPr>
            <w:r>
              <w:rPr>
                <w:color w:val="1A252F"/>
                <w:sz w:val="19"/>
              </w:rPr>
              <w:t>HIGH (Verrier Elwin, Christoph von Fürer-Haimendorf, Anthropological Survey of India)</w:t>
            </w:r>
          </w:p>
        </w:tc>
      </w:tr>
      <w:tr>
        <w:tc>
          <w:tcPr>
            <w:tcW w:type="dxa" w:w="3168"/>
            <w:shd w:fill="FDF8EE"/>
            <w:tcMar>
              <w:top w:w="80" w:type="dxa"/>
              <w:bottom w:w="80" w:type="dxa"/>
              <w:left w:w="120" w:type="dxa"/>
              <w:right w:w="120" w:type="dxa"/>
            </w:tcMar>
          </w:tcPr>
          <w:p>
            <w:pPr>
              <w:spacing w:after="0" w:before="0"/>
            </w:pPr>
            <w:r>
              <w:rPr>
                <w:b/>
                <w:color w:val="8B3A1C"/>
                <w:sz w:val="19"/>
              </w:rPr>
              <w:t>Last Verified Date</w:t>
            </w:r>
          </w:p>
        </w:tc>
        <w:tc>
          <w:tcPr>
            <w:tcW w:type="dxa" w:w="6192"/>
            <w:shd w:fill="FFFFFF"/>
            <w:tcMar>
              <w:top w:w="80" w:type="dxa"/>
              <w:bottom w:w="80" w:type="dxa"/>
              <w:left w:w="120" w:type="dxa"/>
              <w:right w:w="120" w:type="dxa"/>
            </w:tcMar>
          </w:tcPr>
          <w:p>
            <w:pPr>
              <w:spacing w:after="0" w:before="0"/>
            </w:pPr>
            <w:r>
              <w:rPr>
                <w:color w:val="1A252F"/>
                <w:sz w:val="19"/>
              </w:rPr>
              <w:t>2026-09-07</w:t>
            </w:r>
          </w:p>
        </w:tc>
      </w:tr>
    </w:tbl>
    <w:p>
      <w:pPr>
        <w:spacing w:after="240"/>
      </w:pPr>
    </w:p>
    <w:p>
      <w:pPr>
        <w:keepNext/>
        <w:spacing w:before="320" w:after="120"/>
      </w:pPr>
      <w:r>
        <w:rPr>
          <w:rFonts w:ascii="Calibri" w:hAnsi="Calibri"/>
          <w:b/>
          <w:color w:val="8B3A1C"/>
          <w:sz w:val="30"/>
        </w:rPr>
        <w:t>1. Koyatur Identity and Myth of Origin</w:t>
      </w:r>
    </w:p>
    <w:p>
      <w:r>
        <w:t>The Gonds, who self-identify as 'Koitur' or 'Koyatur' (meaning 'people of the earth' or 'descendants of the womb of Mother Nature'), form the demographic and mythological foundation of Bastar. According to the supreme Gondi epic narrated by traditional bards (Pradhans), the Koyatur ancestors emerged from the sacred cave of Kachargadh under the leadership of the legendary culture hero Pahandi Kupar Lingo. Pahandi Lingo established the social code, the four-phratry kinship division, musical instruments (the Bana), and the worship of the invisible supreme reality, Phersa Pen (or Budha Dev).</w:t>
      </w:r>
    </w:p>
    <w:p>
      <w:pPr>
        <w:keepNext/>
        <w:spacing w:before="240" w:after="80"/>
      </w:pPr>
      <w:r>
        <w:rPr>
          <w:rFonts w:ascii="Calibri" w:hAnsi="Calibri"/>
          <w:b/>
          <w:color w:val="2D5A27"/>
          <w:sz w:val="25"/>
        </w:rPr>
        <w:t>2. Phratry (Saga) and Clan (Gotra) Organization</w:t>
      </w:r>
    </w:p>
    <w:p>
      <w:r>
        <w:t>The social universe is segmented into four exogamous phratries (Sagas), defined by the number of ancestral deities (Vens) worshipped:</w:t>
        <w:br/>
        <w:t>• 4-Deo Phratry (Nalwen): Totem = Tortoise / Crocodile</w:t>
        <w:br/>
        <w:t>• 5-Deo Phratry (Seiwen): Totem = Crane / Hawk</w:t>
        <w:br/>
        <w:t>• 6-Deo Phratry (Sarwen): Totem = Tiger / Peepal</w:t>
        <w:br/>
        <w:t>• 7-Deo Phratry (Yelwen): Totem = Porcupine / Snake</w:t>
        <w:br/>
        <w:br/>
        <w:t>Marriage is strictly exogamous between different Sagas. Cross-cousin marriage (Doodh Lautana, or 'returning the milk') is the preferred kinship alliance, ensuring economic cohesion and social solidarity.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595959"/>
        <w:sz w:val="17"/>
      </w:rPr>
      <w:t>Confidential Academic &amp; Cultural Knowledge Base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Bastar Heritage Research Initiative | Multidisciplinary Digital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5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