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11. Maria Heritage and Culture</w:t>
      </w:r>
    </w:p>
    <w:p>
      <w:pPr>
        <w:spacing w:before="0" w:after="280"/>
        <w:jc w:val="left"/>
      </w:pPr>
      <w:r>
        <w:rPr>
          <w:rFonts w:ascii="Calibri" w:hAnsi="Calibri"/>
          <w:i/>
          <w:color w:val="2D5A27"/>
          <w:sz w:val="26"/>
        </w:rPr>
        <w:t>Comparative Ethnography of Hill Maria (Abujhmaria) &amp; Dandami Maria (Bison Horn)</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BST-DOC-011</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Abujhmad Plateau (Narayanpur/Bijapur) &amp; Dantewada/Sukma Basin</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Ethnographic Analysis &amp; Indigenous Material Culture</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(W.V. Grigson 'The Maria Gonds of Bastar', Census PVTG Reports)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Critical Ethnographic Distinction</w:t>
      </w:r>
    </w:p>
    <w:p>
      <w:r>
        <w:t>Anthropological research strictly distinguishes between two culturally distinct Maria groups:</w:t>
        <w:br/>
        <w:t>1. Hill Maria (Meta Koitur / Abujhmaria): Inhabitants of the isolated Abujhmad hills; classified as a Particularly Vulnerable Tribal Group (PVTG). They historically practice 'Penda' (rotational swidden cultivation) and maintain untouched forest-dwelling autonomy.</w:t>
        <w:br/>
        <w:t>2. Dandami Maria (Bison Horn Maria / Khalpati Koitur): Inhabitants of the plains and river valleys of Dantewada, Bijapur, and Sukma. Renowned for their majestic 'Gaur Dance' (featuring headdresses made from wild bison horns and cowrie shells) and living megalithic menhir erections.</w:t>
      </w:r>
    </w:p>
    <w:p>
      <w:pPr>
        <w:keepNext/>
        <w:spacing w:before="240" w:after="80"/>
      </w:pPr>
      <w:r>
        <w:rPr>
          <w:rFonts w:ascii="Calibri" w:hAnsi="Calibri"/>
          <w:b/>
          <w:color w:val="2D5A27"/>
          <w:sz w:val="25"/>
        </w:rPr>
        <w:t>Comparative Matrix: Hill Maria vs Dandami Maria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8B3A1C"/>
            <w:tcMar>
              <w:top w:w="100" w:type="dxa"/>
              <w:bottom w:w="100" w:type="dxa"/>
              <w:left w:w="120" w:type="dxa"/>
              <w:right w:w="120" w:type="dxa"/>
            </w:tcMar>
          </w:tcPr>
          <w:p>
            <w:pPr>
              <w:spacing w:after="0" w:before="0"/>
              <w:jc w:val="left"/>
            </w:pPr>
            <w:r>
              <w:rPr>
                <w:b/>
                <w:color w:val="FFFFFF"/>
                <w:sz w:val="19"/>
              </w:rPr>
              <w:t>Cultural Domain</w:t>
            </w:r>
          </w:p>
        </w:tc>
        <w:tc>
          <w:tcPr>
            <w:tcW w:type="dxa" w:w="3120"/>
            <w:shd w:fill="8B3A1C"/>
            <w:tcMar>
              <w:top w:w="100" w:type="dxa"/>
              <w:bottom w:w="100" w:type="dxa"/>
              <w:left w:w="120" w:type="dxa"/>
              <w:right w:w="120" w:type="dxa"/>
            </w:tcMar>
          </w:tcPr>
          <w:p>
            <w:pPr>
              <w:spacing w:after="0" w:before="0"/>
              <w:jc w:val="left"/>
            </w:pPr>
            <w:r>
              <w:rPr>
                <w:b/>
                <w:color w:val="FFFFFF"/>
                <w:sz w:val="19"/>
              </w:rPr>
              <w:t>Hill Maria (Abujhmaria)</w:t>
            </w:r>
          </w:p>
        </w:tc>
        <w:tc>
          <w:tcPr>
            <w:tcW w:type="dxa" w:w="3120"/>
            <w:shd w:fill="8B3A1C"/>
            <w:tcMar>
              <w:top w:w="100" w:type="dxa"/>
              <w:bottom w:w="100" w:type="dxa"/>
              <w:left w:w="120" w:type="dxa"/>
              <w:right w:w="120" w:type="dxa"/>
            </w:tcMar>
          </w:tcPr>
          <w:p>
            <w:pPr>
              <w:spacing w:after="0" w:before="0"/>
              <w:jc w:val="left"/>
            </w:pPr>
            <w:r>
              <w:rPr>
                <w:b/>
                <w:color w:val="FFFFFF"/>
                <w:sz w:val="19"/>
              </w:rPr>
              <w:t>Dandami Maria (Bison Horn Maria)</w:t>
            </w:r>
          </w:p>
        </w:tc>
      </w:tr>
      <w:tr>
        <w:tc>
          <w:tcPr>
            <w:tcW w:type="dxa" w:w="3120"/>
            <w:shd w:fill="FFFFFF"/>
            <w:tcMar>
              <w:top w:w="80" w:type="dxa"/>
              <w:bottom w:w="80" w:type="dxa"/>
              <w:left w:w="120" w:type="dxa"/>
              <w:right w:w="120" w:type="dxa"/>
            </w:tcMar>
          </w:tcPr>
          <w:p>
            <w:pPr>
              <w:spacing w:after="0" w:before="0"/>
            </w:pPr>
            <w:r>
              <w:rPr>
                <w:color w:val="1A252F"/>
                <w:sz w:val="18"/>
              </w:rPr>
              <w:t>Habitat &amp; Elevation</w:t>
            </w:r>
          </w:p>
        </w:tc>
        <w:tc>
          <w:tcPr>
            <w:tcW w:type="dxa" w:w="3120"/>
            <w:shd w:fill="FFFFFF"/>
            <w:tcMar>
              <w:top w:w="80" w:type="dxa"/>
              <w:bottom w:w="80" w:type="dxa"/>
              <w:left w:w="120" w:type="dxa"/>
              <w:right w:w="120" w:type="dxa"/>
            </w:tcMar>
          </w:tcPr>
          <w:p>
            <w:pPr>
              <w:spacing w:after="0" w:before="0"/>
            </w:pPr>
            <w:r>
              <w:rPr>
                <w:color w:val="1A252F"/>
                <w:sz w:val="18"/>
              </w:rPr>
              <w:t>Dense forest hills of Abujhmad (&gt;800m)</w:t>
            </w:r>
          </w:p>
        </w:tc>
        <w:tc>
          <w:tcPr>
            <w:tcW w:type="dxa" w:w="3120"/>
            <w:shd w:fill="FFFFFF"/>
            <w:tcMar>
              <w:top w:w="80" w:type="dxa"/>
              <w:bottom w:w="80" w:type="dxa"/>
              <w:left w:w="120" w:type="dxa"/>
              <w:right w:w="120" w:type="dxa"/>
            </w:tcMar>
          </w:tcPr>
          <w:p>
            <w:pPr>
              <w:spacing w:after="0" w:before="0"/>
            </w:pPr>
            <w:r>
              <w:rPr>
                <w:color w:val="1A252F"/>
                <w:sz w:val="18"/>
              </w:rPr>
              <w:t>Riverine plains of Dantewada/Bijapur (300-600m)</w:t>
            </w:r>
          </w:p>
        </w:tc>
      </w:tr>
      <w:tr>
        <w:tc>
          <w:tcPr>
            <w:tcW w:type="dxa" w:w="3120"/>
            <w:shd w:fill="F9FBF9"/>
            <w:tcMar>
              <w:top w:w="80" w:type="dxa"/>
              <w:bottom w:w="80" w:type="dxa"/>
              <w:left w:w="120" w:type="dxa"/>
              <w:right w:w="120" w:type="dxa"/>
            </w:tcMar>
          </w:tcPr>
          <w:p>
            <w:pPr>
              <w:spacing w:after="0" w:before="0"/>
            </w:pPr>
            <w:r>
              <w:rPr>
                <w:color w:val="1A252F"/>
                <w:sz w:val="18"/>
              </w:rPr>
              <w:t>Agricultural System</w:t>
            </w:r>
          </w:p>
        </w:tc>
        <w:tc>
          <w:tcPr>
            <w:tcW w:type="dxa" w:w="3120"/>
            <w:shd w:fill="F9FBF9"/>
            <w:tcMar>
              <w:top w:w="80" w:type="dxa"/>
              <w:bottom w:w="80" w:type="dxa"/>
              <w:left w:w="120" w:type="dxa"/>
              <w:right w:w="120" w:type="dxa"/>
            </w:tcMar>
          </w:tcPr>
          <w:p>
            <w:pPr>
              <w:spacing w:after="0" w:before="0"/>
            </w:pPr>
            <w:r>
              <w:rPr>
                <w:color w:val="1A252F"/>
                <w:sz w:val="18"/>
              </w:rPr>
              <w:t>Penda (Swidden/Slash-and-Burn farming)</w:t>
            </w:r>
          </w:p>
        </w:tc>
        <w:tc>
          <w:tcPr>
            <w:tcW w:type="dxa" w:w="3120"/>
            <w:shd w:fill="F9FBF9"/>
            <w:tcMar>
              <w:top w:w="80" w:type="dxa"/>
              <w:bottom w:w="80" w:type="dxa"/>
              <w:left w:w="120" w:type="dxa"/>
              <w:right w:w="120" w:type="dxa"/>
            </w:tcMar>
          </w:tcPr>
          <w:p>
            <w:pPr>
              <w:spacing w:after="0" w:before="0"/>
            </w:pPr>
            <w:r>
              <w:rPr>
                <w:color w:val="1A252F"/>
                <w:sz w:val="18"/>
              </w:rPr>
              <w:t>Settled wetland rice &amp; Kosra cultivation</w:t>
            </w:r>
          </w:p>
        </w:tc>
      </w:tr>
      <w:tr>
        <w:tc>
          <w:tcPr>
            <w:tcW w:type="dxa" w:w="3120"/>
            <w:shd w:fill="FFFFFF"/>
            <w:tcMar>
              <w:top w:w="80" w:type="dxa"/>
              <w:bottom w:w="80" w:type="dxa"/>
              <w:left w:w="120" w:type="dxa"/>
              <w:right w:w="120" w:type="dxa"/>
            </w:tcMar>
          </w:tcPr>
          <w:p>
            <w:pPr>
              <w:spacing w:after="0" w:before="0"/>
            </w:pPr>
            <w:r>
              <w:rPr>
                <w:color w:val="1A252F"/>
                <w:sz w:val="18"/>
              </w:rPr>
              <w:t>Iconic Performance</w:t>
            </w:r>
          </w:p>
        </w:tc>
        <w:tc>
          <w:tcPr>
            <w:tcW w:type="dxa" w:w="3120"/>
            <w:shd w:fill="FFFFFF"/>
            <w:tcMar>
              <w:top w:w="80" w:type="dxa"/>
              <w:bottom w:w="80" w:type="dxa"/>
              <w:left w:w="120" w:type="dxa"/>
              <w:right w:w="120" w:type="dxa"/>
            </w:tcMar>
          </w:tcPr>
          <w:p>
            <w:pPr>
              <w:spacing w:after="0" w:before="0"/>
            </w:pPr>
            <w:r>
              <w:rPr>
                <w:color w:val="1A252F"/>
                <w:sz w:val="18"/>
              </w:rPr>
              <w:t>Kaksar harvest dance with brass bells</w:t>
            </w:r>
          </w:p>
        </w:tc>
        <w:tc>
          <w:tcPr>
            <w:tcW w:type="dxa" w:w="3120"/>
            <w:shd w:fill="FFFFFF"/>
            <w:tcMar>
              <w:top w:w="80" w:type="dxa"/>
              <w:bottom w:w="80" w:type="dxa"/>
              <w:left w:w="120" w:type="dxa"/>
              <w:right w:w="120" w:type="dxa"/>
            </w:tcMar>
          </w:tcPr>
          <w:p>
            <w:pPr>
              <w:spacing w:after="0" w:before="0"/>
            </w:pPr>
            <w:r>
              <w:rPr>
                <w:color w:val="1A252F"/>
                <w:sz w:val="18"/>
              </w:rPr>
              <w:t>Gaur Dance with massive bison horn headdresses</w:t>
            </w:r>
          </w:p>
        </w:tc>
      </w:tr>
      <w:tr>
        <w:tc>
          <w:tcPr>
            <w:tcW w:type="dxa" w:w="3120"/>
            <w:shd w:fill="F9FBF9"/>
            <w:tcMar>
              <w:top w:w="80" w:type="dxa"/>
              <w:bottom w:w="80" w:type="dxa"/>
              <w:left w:w="120" w:type="dxa"/>
              <w:right w:w="120" w:type="dxa"/>
            </w:tcMar>
          </w:tcPr>
          <w:p>
            <w:pPr>
              <w:spacing w:after="0" w:before="0"/>
            </w:pPr>
            <w:r>
              <w:rPr>
                <w:color w:val="1A252F"/>
                <w:sz w:val="18"/>
              </w:rPr>
              <w:t>Youth Institution</w:t>
            </w:r>
          </w:p>
        </w:tc>
        <w:tc>
          <w:tcPr>
            <w:tcW w:type="dxa" w:w="3120"/>
            <w:shd w:fill="F9FBF9"/>
            <w:tcMar>
              <w:top w:w="80" w:type="dxa"/>
              <w:bottom w:w="80" w:type="dxa"/>
              <w:left w:w="120" w:type="dxa"/>
              <w:right w:w="120" w:type="dxa"/>
            </w:tcMar>
          </w:tcPr>
          <w:p>
            <w:pPr>
              <w:spacing w:after="0" w:before="0"/>
            </w:pPr>
            <w:r>
              <w:rPr>
                <w:color w:val="1A252F"/>
                <w:sz w:val="18"/>
              </w:rPr>
              <w:t>Separate male dormitory (Ghotul variant)</w:t>
            </w:r>
          </w:p>
        </w:tc>
        <w:tc>
          <w:tcPr>
            <w:tcW w:type="dxa" w:w="3120"/>
            <w:shd w:fill="F9FBF9"/>
            <w:tcMar>
              <w:top w:w="80" w:type="dxa"/>
              <w:bottom w:w="80" w:type="dxa"/>
              <w:left w:w="120" w:type="dxa"/>
              <w:right w:w="120" w:type="dxa"/>
            </w:tcMar>
          </w:tcPr>
          <w:p>
            <w:pPr>
              <w:spacing w:after="0" w:before="0"/>
            </w:pPr>
            <w:r>
              <w:rPr>
                <w:color w:val="1A252F"/>
                <w:sz w:val="18"/>
              </w:rPr>
              <w:t>Informal youth gathering spaces</w:t>
            </w:r>
          </w:p>
        </w:tc>
      </w:tr>
      <w:tr>
        <w:tc>
          <w:tcPr>
            <w:tcW w:type="dxa" w:w="3120"/>
            <w:shd w:fill="FFFFFF"/>
            <w:tcMar>
              <w:top w:w="80" w:type="dxa"/>
              <w:bottom w:w="80" w:type="dxa"/>
              <w:left w:w="120" w:type="dxa"/>
              <w:right w:w="120" w:type="dxa"/>
            </w:tcMar>
          </w:tcPr>
          <w:p>
            <w:pPr>
              <w:spacing w:after="0" w:before="0"/>
            </w:pPr>
            <w:r>
              <w:rPr>
                <w:color w:val="1A252F"/>
                <w:sz w:val="18"/>
              </w:rPr>
              <w:t>Megalithic Practice</w:t>
            </w:r>
          </w:p>
        </w:tc>
        <w:tc>
          <w:tcPr>
            <w:tcW w:type="dxa" w:w="3120"/>
            <w:shd w:fill="FFFFFF"/>
            <w:tcMar>
              <w:top w:w="80" w:type="dxa"/>
              <w:bottom w:w="80" w:type="dxa"/>
              <w:left w:w="120" w:type="dxa"/>
              <w:right w:w="120" w:type="dxa"/>
            </w:tcMar>
          </w:tcPr>
          <w:p>
            <w:pPr>
              <w:spacing w:after="0" w:before="0"/>
            </w:pPr>
            <w:r>
              <w:rPr>
                <w:color w:val="1A252F"/>
                <w:sz w:val="18"/>
              </w:rPr>
              <w:t>Wooden poles (Khamba) occasionally</w:t>
            </w:r>
          </w:p>
        </w:tc>
        <w:tc>
          <w:tcPr>
            <w:tcW w:type="dxa" w:w="3120"/>
            <w:shd w:fill="FFFFFF"/>
            <w:tcMar>
              <w:top w:w="80" w:type="dxa"/>
              <w:bottom w:w="80" w:type="dxa"/>
              <w:left w:w="120" w:type="dxa"/>
              <w:right w:w="120" w:type="dxa"/>
            </w:tcMar>
          </w:tcPr>
          <w:p>
            <w:pPr>
              <w:spacing w:after="0" w:before="0"/>
            </w:pPr>
            <w:r>
              <w:rPr>
                <w:color w:val="1A252F"/>
                <w:sz w:val="18"/>
              </w:rPr>
              <w:t>Stone menhirs (Uruskal) and cairns (Danya)</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