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12. Muria Heritage and Culture</w:t>
      </w:r>
    </w:p>
    <w:p>
      <w:pPr>
        <w:spacing w:before="0" w:after="280"/>
        <w:jc w:val="left"/>
      </w:pPr>
      <w:r>
        <w:rPr>
          <w:rFonts w:ascii="Calibri" w:hAnsi="Calibri"/>
          <w:i/>
          <w:color w:val="2D5A27"/>
          <w:sz w:val="26"/>
        </w:rPr>
        <w:t>Ghotul Youth Institution, Social Structure, and Aesthetic Traditions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BST-DOC-012</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Central Bastar Plateau &amp; Kondagaon District</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Social Anthropology &amp; Ethnomusicology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(Verrier Elwin 'The Muria and Their Ghotul', Anthropological Survey)</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The Muria Social Fabric and the Ghotul</w:t>
      </w:r>
    </w:p>
    <w:p>
      <w:r>
        <w:t>The Muria represent one of the most culturally organized tribal groups of the Bastar plateau. Their community life is famously centered around the 'Ghotul', a co-educational village youth dormitory that serves as an institutional school for civic duties, ethics, egalitarian cooperation, oral history, music, dance, and democratic self-governance.</w:t>
      </w:r>
    </w:p>
    <w:tbl>
      <w:tblPr>
        <w:tblW w:type="auto" w:w="0"/>
        <w:jc w:val="center"/>
        <w:tblLook w:firstColumn="1" w:firstRow="1" w:lastColumn="0" w:lastRow="0" w:noHBand="0" w:noVBand="1" w:val="04A0"/>
      </w:tblPr>
      <w:tblGrid>
        <w:gridCol w:w="9360"/>
      </w:tblGrid>
      <w:tr>
        <w:tc>
          <w:tcPr>
            <w:tcW w:type="dxa" w:w="9360"/>
            <w:shd w:fill="FDF6E2"/>
            <w:tcMar>
              <w:top w:w="140" w:type="dxa"/>
              <w:bottom w:w="140" w:type="dxa"/>
              <w:left w:w="180" w:type="dxa"/>
              <w:right w:w="180" w:type="dxa"/>
            </w:tcMar>
            <w:tcBorders>
              <w:left w:val="single" w:sz="24" w:space="0" w:color="8B3A1C"/>
              <w:top w:val="none"/>
              <w:right w:val="none"/>
              <w:bottom w:val="none"/>
            </w:tcBorders>
          </w:tcPr>
          <w:p>
            <w:pPr>
              <w:spacing w:before="0" w:after="80"/>
            </w:pPr>
            <w:r>
              <w:rPr>
                <w:b/>
                <w:color w:val="8B3A1C"/>
                <w:sz w:val="19"/>
              </w:rPr>
              <w:t>[SCHOLARLY RIGOR &amp; CULTURAL SENSITIVITY]</w:t>
              <w:br/>
            </w:r>
            <w:r>
              <w:rPr>
                <w:i/>
                <w:color w:val="1A252F"/>
                <w:sz w:val="19"/>
              </w:rPr>
              <w:t>ACADEMIC RE-EVALUATION: The Ghotul has frequently been sensationalized in colonial and non-scholarly literature. Anthropological evidence confirms that the Ghotul is fundamentally a sacred social university presided over by the deity Lingo Pen. Adolescent boys (Cheliks) and girls (Motiaris) learn village governance, hospitality, funeral assistance, agricultural labor reciprocity, and artistic excellence under elected student leaders (Sirdar and Belosa).</w:t>
            </w:r>
          </w:p>
        </w:tc>
      </w:tr>
    </w:tbl>
    <w:p>
      <w:pPr>
        <w:spacing w:after="120"/>
      </w:pPr>
    </w:p>
    <w:p>
      <w:pPr>
        <w:keepNext/>
        <w:spacing w:before="240" w:after="80"/>
      </w:pPr>
      <w:r>
        <w:rPr>
          <w:rFonts w:ascii="Calibri" w:hAnsi="Calibri"/>
          <w:b/>
          <w:color w:val="2D5A27"/>
          <w:sz w:val="25"/>
        </w:rPr>
        <w:t>2. Dances and Musical Rhythms</w:t>
      </w:r>
    </w:p>
    <w:p>
      <w:r>
        <w:t>Muria cultural expression features energetic dances such as the 'Mandari Dance' (performed with cylindrical terracotta and wood drums), 'Hulki Manda', and 'Gedi Dance' (acrobatic balance on bamboo stilts during the monsoon Hareli festival).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