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13. Halba Heritage and Culture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Soldier-Cultivators, Linguistic Dominance, and Cultural Syncretism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BST-DOC-013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Northern and Central Bastar, Kondagaon, Kanker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Ethnography, Military History &amp; Socio-Linguistics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(Russell &amp; Hiralal, Anthropological Survey of India)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Historical Identity as Royal Militia</w:t>
      </w:r>
    </w:p>
    <w:p>
      <w:r>
        <w:t>The Halbas historically served as the elite personal military guard and soldier-cultivators of the Kakatiya Kings of Bastar. Their language, Halbi (an Eastern Indo-Aryan language with archaic Marathi, Odia, and Chhattisgarhi affinities), became the primary lingua franca (trade language) of the entire Bastar region, facilitating communication between disparate Dravidian-speaking tribal clans.</w:t>
      </w: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2. Social Stratification and Religious Practices</w:t>
      </w:r>
    </w:p>
    <w:p>
      <w:r>
        <w:t>The Halba community is divided into two primary endogamous sub-groups:</w:t>
        <w:br/>
        <w:t>• Purait (Pure Halba): Descendants of the original landed aristocracy and royal soldiers.</w:t>
        <w:br/>
        <w:t>• Surait (Mixed Halba): Descendants of secondary lineage unions.</w:t>
        <w:br/>
        <w:br/>
        <w:t>Religious practices blend ancestor worship with Vaishnavism and the Kabirpanth reform movement, reflecting their role as a cultural bridge between tribal animism and Sanskritic traditions.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