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17. Indigenous Knowledge Systems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Forest Botany, Hydrology, Swidden Management, and Metallurgy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BST-DOC-017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Bastar Forest Ecosystems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Traditional Ecological Knowledge (TEK) &amp; Ethno-Science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(Ethnobotanical Surveys, Botanical Survey of India)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Ethno-Botanical and Pharmacological Wisdom</w:t>
      </w:r>
    </w:p>
    <w:p>
      <w:r>
        <w:t>Bastar's tribal elders preserve profound empirical knowledge regarding forest ecosystems:</w:t>
        <w:br/>
        <w:t>• Phyto-Therapeutics: Over 450 plant species are utilized for targeted herbal remedies (e.g., Tinospora cordifolia / Giloy for fever; Andrographis paniculata / Bhuineem for liver ailments; Chlorophytum borivilianum / Safed Musli for vitality).</w:t>
        <w:br/>
        <w:t>• Forest Phenology: Reading flowering cycles of Sal (Sarai) and Mahua to predict monsoon onset and draught patterns.</w:t>
        <w:br/>
        <w:t>• Indigenous Metallurgy: Charcoal-fired clay blast furnaces capable of smelting local laterite/hematite iron ores at high purities.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