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20. Devigudi and Sacred Spaces</w:t>
      </w:r>
    </w:p>
    <w:p>
      <w:pPr>
        <w:spacing w:before="0" w:after="280"/>
        <w:jc w:val="left"/>
      </w:pPr>
      <w:r>
        <w:rPr>
          <w:rFonts w:ascii="Calibri" w:hAnsi="Calibri"/>
          <w:i/>
          <w:color w:val="2D5A27"/>
          <w:sz w:val="26"/>
        </w:rPr>
        <w:t>Architectural Morphology, Spatial Sanctity, and Territorial Guardianship</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BST-DOC-020</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Village settlements across Bastar, Kondagaon, Dantewada, Narayanpur</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Sacred Architecture &amp; Territorial Anthropology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(Field Documentation &amp; Chhattisgarh Heritage Department)</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Morphology and Spatial Layout of the Devigudi</w:t>
      </w:r>
    </w:p>
    <w:p>
      <w:r>
        <w:t>The 'Devigudi' is the consecrated epicentre of every Bastar village settlement. Typically situated in a grove at the boundary or center of the village, it comprises an open-sided pavilion constructed from timber posts, mud-plastered plinths, and terracotta tiled roofs. Within the Devigudi are housed the wooden swings with iron spikes (Jhula), brass emblems, iron tridents (Trishul), terracotta votive horses, and stone totems representing the village mother goddesses (Mawli, Sheetla, Pardeshin, and Telin).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