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21. Goddess Danteshwari and Religious Heritage</w:t>
      </w:r>
    </w:p>
    <w:p>
      <w:pPr>
        <w:spacing w:before="0" w:after="280"/>
        <w:jc w:val="left"/>
      </w:pPr>
      <w:r>
        <w:rPr>
          <w:rFonts w:ascii="Calibri" w:hAnsi="Calibri"/>
          <w:i/>
          <w:color w:val="2D5A27"/>
          <w:sz w:val="26"/>
        </w:rPr>
        <w:t>From Manikeshwari to Danteshwari: Royal Cult, Epigraphy &amp; Devotional Geometry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BST-DOC-021</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Dantewada Temple Complex &amp; Pan-Bastar Cultural Sphere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Shakta Studies, Royal Epigraphy &amp; Syncretic Religion</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(Archaeological Survey of India, Temple Inscriptions, District Gazettes)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Epigraphic and Mythological Origins</w:t>
      </w:r>
    </w:p>
    <w:p>
      <w:r>
        <w:t>Goddess Danteshwari is revered as the patron sovereign deity of Bastar. Located at the sacred confluence of the Shankini and Dankini rivers in Dantewada, popular mythological tradition classifies the temple as one of the 52 Shakti Peethas (where Sati's tooth / Danta fell). However, rigorous historical and epigraphic evidence indicates that the Kakatiya Kings brought their tutelary deity Manikeshwari (a form of Durga/Chandi) from Warangal in 1324 CE and harmonized her with the pre-existing indigenous goddess Mawli worshipped by the local Gond and Maria populations, evolving over centuries into 'Danteshwari'.</w:t>
      </w:r>
    </w:p>
    <w:p>
      <w:pPr>
        <w:keepNext/>
        <w:spacing w:before="240" w:after="80"/>
      </w:pPr>
      <w:r>
        <w:rPr>
          <w:rFonts w:ascii="Calibri" w:hAnsi="Calibri"/>
          <w:b/>
          <w:color w:val="2D5A27"/>
          <w:sz w:val="25"/>
        </w:rPr>
        <w:t>2. Temple Architecture and Consecrated Sanctum</w:t>
      </w:r>
    </w:p>
    <w:p>
      <w:r>
        <w:t>The Dantewada temple complex features four distinct architectural sections:</w:t>
        <w:br/>
        <w:t>1. Garbha Griha (Sanctum Sanctorum): Housing the black stone idol of six-armed Danteshwari slaying Mahishasura, dating stylistically to the 14th century.</w:t>
        <w:br/>
        <w:t>2. Maha Mandapa and Mukha Mandapa: Constructed with carved stone pillars displaying Shaivite and Vaishnavite guardian iconography.</w:t>
        <w:br/>
        <w:t>3. Garuda Stambha &amp; Natya Mandapa: Wooden and stone halls utilized for classical and folk devotional recitals during Navratri.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