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22. Bastar Dussehra Complete Research</w:t>
      </w:r>
    </w:p>
    <w:p>
      <w:pPr>
        <w:spacing w:before="0" w:after="280"/>
        <w:jc w:val="left"/>
      </w:pPr>
      <w:r>
        <w:rPr>
          <w:rFonts w:ascii="Calibri" w:hAnsi="Calibri"/>
          <w:i/>
          <w:color w:val="2D5A27"/>
          <w:sz w:val="26"/>
        </w:rPr>
        <w:t>The World's Longest Festival (75 Days): Ritual Schedule, Chariot Engineering &amp; Tribal Democracy</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BST-DOC-022</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Jagdalpur Royal Capital &amp; Pan-Bastar Parganas</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Living Intangible Cultural Heritage &amp; Ritual Anthropology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(Anthropological Survey of India, Royal Archives, District Administration)</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Non-Sanskritic Essence of Bastar Dussehra</w:t>
      </w:r>
    </w:p>
    <w:p>
      <w:r>
        <w:t>Unlike standard Dussehra celebrations across North and South India, Bastar Dussehra does not celebrate the slaying of Ravana by Rama, nor is an effigy of Ravana ever burned. Instead, it is an extraordinary 75-day long festival dedicated entirely to Goddess Danteshwari and the gathering of all village deities (Devtas and Matas) of Bastar. It embodies a sacred political contract between the Kakatiya King (acting as the chief devotee / priest) and the diverse indigenous tribal clans.</w:t>
      </w:r>
    </w:p>
    <w:p>
      <w:pPr>
        <w:keepNext/>
        <w:spacing w:before="240" w:after="80"/>
      </w:pPr>
      <w:r>
        <w:rPr>
          <w:rFonts w:ascii="Calibri" w:hAnsi="Calibri"/>
          <w:b/>
          <w:color w:val="2D5A27"/>
          <w:sz w:val="25"/>
        </w:rPr>
        <w:t>Master Chronology of Bastar Dussehra Rituals (75-Day Cycle)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8B3A1C"/>
            <w:tcMar>
              <w:top w:w="100" w:type="dxa"/>
              <w:bottom w:w="100" w:type="dxa"/>
              <w:left w:w="120" w:type="dxa"/>
              <w:right w:w="120" w:type="dxa"/>
            </w:tcMar>
          </w:tcPr>
          <w:p>
            <w:pPr>
              <w:spacing w:after="0" w:before="0"/>
              <w:jc w:val="left"/>
            </w:pPr>
            <w:r>
              <w:rPr>
                <w:b/>
                <w:color w:val="FFFFFF"/>
                <w:sz w:val="19"/>
              </w:rPr>
              <w:t>Ritual Phase</w:t>
            </w:r>
          </w:p>
        </w:tc>
        <w:tc>
          <w:tcPr>
            <w:tcW w:type="dxa" w:w="2340"/>
            <w:shd w:fill="8B3A1C"/>
            <w:tcMar>
              <w:top w:w="100" w:type="dxa"/>
              <w:bottom w:w="100" w:type="dxa"/>
              <w:left w:w="120" w:type="dxa"/>
              <w:right w:w="120" w:type="dxa"/>
            </w:tcMar>
          </w:tcPr>
          <w:p>
            <w:pPr>
              <w:spacing w:after="0" w:before="0"/>
              <w:jc w:val="left"/>
            </w:pPr>
            <w:r>
              <w:rPr>
                <w:b/>
                <w:color w:val="FFFFFF"/>
                <w:sz w:val="19"/>
              </w:rPr>
              <w:t>Local Terminology</w:t>
            </w:r>
          </w:p>
        </w:tc>
        <w:tc>
          <w:tcPr>
            <w:tcW w:type="dxa" w:w="2340"/>
            <w:shd w:fill="8B3A1C"/>
            <w:tcMar>
              <w:top w:w="100" w:type="dxa"/>
              <w:bottom w:w="100" w:type="dxa"/>
              <w:left w:w="120" w:type="dxa"/>
              <w:right w:w="120" w:type="dxa"/>
            </w:tcMar>
          </w:tcPr>
          <w:p>
            <w:pPr>
              <w:spacing w:after="0" w:before="0"/>
              <w:jc w:val="left"/>
            </w:pPr>
            <w:r>
              <w:rPr>
                <w:b/>
                <w:color w:val="FFFFFF"/>
                <w:sz w:val="19"/>
              </w:rPr>
              <w:t>Approx. Timing / Tithi</w:t>
            </w:r>
          </w:p>
        </w:tc>
        <w:tc>
          <w:tcPr>
            <w:tcW w:type="dxa" w:w="2340"/>
            <w:shd w:fill="8B3A1C"/>
            <w:tcMar>
              <w:top w:w="100" w:type="dxa"/>
              <w:bottom w:w="100" w:type="dxa"/>
              <w:left w:w="120" w:type="dxa"/>
              <w:right w:w="120" w:type="dxa"/>
            </w:tcMar>
          </w:tcPr>
          <w:p>
            <w:pPr>
              <w:spacing w:after="0" w:before="0"/>
              <w:jc w:val="left"/>
            </w:pPr>
            <w:r>
              <w:rPr>
                <w:b/>
                <w:color w:val="FFFFFF"/>
                <w:sz w:val="19"/>
              </w:rPr>
              <w:t>Key Community Roles &amp; Ritual Significance</w:t>
            </w:r>
          </w:p>
        </w:tc>
      </w:tr>
      <w:tr>
        <w:tc>
          <w:tcPr>
            <w:tcW w:type="dxa" w:w="2340"/>
            <w:shd w:fill="FFFFFF"/>
            <w:tcMar>
              <w:top w:w="80" w:type="dxa"/>
              <w:bottom w:w="80" w:type="dxa"/>
              <w:left w:w="120" w:type="dxa"/>
              <w:right w:w="120" w:type="dxa"/>
            </w:tcMar>
          </w:tcPr>
          <w:p>
            <w:pPr>
              <w:spacing w:after="0" w:before="0"/>
            </w:pPr>
            <w:r>
              <w:rPr>
                <w:color w:val="1A252F"/>
                <w:sz w:val="18"/>
              </w:rPr>
              <w:t>Phase 1: Consecration of Wood</w:t>
            </w:r>
          </w:p>
        </w:tc>
        <w:tc>
          <w:tcPr>
            <w:tcW w:type="dxa" w:w="2340"/>
            <w:shd w:fill="FFFFFF"/>
            <w:tcMar>
              <w:top w:w="80" w:type="dxa"/>
              <w:bottom w:w="80" w:type="dxa"/>
              <w:left w:w="120" w:type="dxa"/>
              <w:right w:w="120" w:type="dxa"/>
            </w:tcMar>
          </w:tcPr>
          <w:p>
            <w:pPr>
              <w:spacing w:after="0" w:before="0"/>
            </w:pPr>
            <w:r>
              <w:rPr>
                <w:color w:val="1A252F"/>
                <w:sz w:val="18"/>
              </w:rPr>
              <w:t>Pāt Jātrā</w:t>
            </w:r>
          </w:p>
        </w:tc>
        <w:tc>
          <w:tcPr>
            <w:tcW w:type="dxa" w:w="2340"/>
            <w:shd w:fill="FFFFFF"/>
            <w:tcMar>
              <w:top w:w="80" w:type="dxa"/>
              <w:bottom w:w="80" w:type="dxa"/>
              <w:left w:w="120" w:type="dxa"/>
              <w:right w:w="120" w:type="dxa"/>
            </w:tcMar>
          </w:tcPr>
          <w:p>
            <w:pPr>
              <w:spacing w:after="0" w:before="0"/>
            </w:pPr>
            <w:r>
              <w:rPr>
                <w:color w:val="1A252F"/>
                <w:sz w:val="18"/>
              </w:rPr>
              <w:t>Shravana Amavasya (Hareli)</w:t>
            </w:r>
          </w:p>
        </w:tc>
        <w:tc>
          <w:tcPr>
            <w:tcW w:type="dxa" w:w="2340"/>
            <w:shd w:fill="FFFFFF"/>
            <w:tcMar>
              <w:top w:w="80" w:type="dxa"/>
              <w:bottom w:w="80" w:type="dxa"/>
              <w:left w:w="120" w:type="dxa"/>
              <w:right w:w="120" w:type="dxa"/>
            </w:tcMar>
          </w:tcPr>
          <w:p>
            <w:pPr>
              <w:spacing w:after="0" w:before="0"/>
            </w:pPr>
            <w:r>
              <w:rPr>
                <w:color w:val="1A252F"/>
                <w:sz w:val="18"/>
              </w:rPr>
              <w:t>Forest wood log (Thurlu Khotla) brought from Bilori forest; Saora carpenters begin axes worship</w:t>
            </w:r>
          </w:p>
        </w:tc>
      </w:tr>
      <w:tr>
        <w:tc>
          <w:tcPr>
            <w:tcW w:type="dxa" w:w="2340"/>
            <w:shd w:fill="F9FBF9"/>
            <w:tcMar>
              <w:top w:w="80" w:type="dxa"/>
              <w:bottom w:w="80" w:type="dxa"/>
              <w:left w:w="120" w:type="dxa"/>
              <w:right w:w="120" w:type="dxa"/>
            </w:tcMar>
          </w:tcPr>
          <w:p>
            <w:pPr>
              <w:spacing w:after="0" w:before="0"/>
            </w:pPr>
            <w:r>
              <w:rPr>
                <w:color w:val="1A252F"/>
                <w:sz w:val="18"/>
              </w:rPr>
              <w:t>Phase 2: Chariot Frame Installation</w:t>
            </w:r>
          </w:p>
        </w:tc>
        <w:tc>
          <w:tcPr>
            <w:tcW w:type="dxa" w:w="2340"/>
            <w:shd w:fill="F9FBF9"/>
            <w:tcMar>
              <w:top w:w="80" w:type="dxa"/>
              <w:bottom w:w="80" w:type="dxa"/>
              <w:left w:w="120" w:type="dxa"/>
              <w:right w:w="120" w:type="dxa"/>
            </w:tcMar>
          </w:tcPr>
          <w:p>
            <w:pPr>
              <w:spacing w:after="0" w:before="0"/>
            </w:pPr>
            <w:r>
              <w:rPr>
                <w:color w:val="1A252F"/>
                <w:sz w:val="18"/>
              </w:rPr>
              <w:t>Dērī Gadhāī</w:t>
            </w:r>
          </w:p>
        </w:tc>
        <w:tc>
          <w:tcPr>
            <w:tcW w:type="dxa" w:w="2340"/>
            <w:shd w:fill="F9FBF9"/>
            <w:tcMar>
              <w:top w:w="80" w:type="dxa"/>
              <w:bottom w:w="80" w:type="dxa"/>
              <w:left w:w="120" w:type="dxa"/>
              <w:right w:w="120" w:type="dxa"/>
            </w:tcMar>
          </w:tcPr>
          <w:p>
            <w:pPr>
              <w:spacing w:after="0" w:before="0"/>
            </w:pPr>
            <w:r>
              <w:rPr>
                <w:color w:val="1A252F"/>
                <w:sz w:val="18"/>
              </w:rPr>
              <w:t>Bhadrapada Shukla</w:t>
            </w:r>
          </w:p>
        </w:tc>
        <w:tc>
          <w:tcPr>
            <w:tcW w:type="dxa" w:w="2340"/>
            <w:shd w:fill="F9FBF9"/>
            <w:tcMar>
              <w:top w:w="80" w:type="dxa"/>
              <w:bottom w:w="80" w:type="dxa"/>
              <w:left w:w="120" w:type="dxa"/>
              <w:right w:w="120" w:type="dxa"/>
            </w:tcMar>
          </w:tcPr>
          <w:p>
            <w:pPr>
              <w:spacing w:after="0" w:before="0"/>
            </w:pPr>
            <w:r>
              <w:rPr>
                <w:color w:val="1A252F"/>
                <w:sz w:val="18"/>
              </w:rPr>
              <w:t>Setting up of foundation poles for the multi-wheeled sacred chariot (Rath)</w:t>
            </w:r>
          </w:p>
        </w:tc>
      </w:tr>
      <w:tr>
        <w:tc>
          <w:tcPr>
            <w:tcW w:type="dxa" w:w="2340"/>
            <w:shd w:fill="FFFFFF"/>
            <w:tcMar>
              <w:top w:w="80" w:type="dxa"/>
              <w:bottom w:w="80" w:type="dxa"/>
              <w:left w:w="120" w:type="dxa"/>
              <w:right w:w="120" w:type="dxa"/>
            </w:tcMar>
          </w:tcPr>
          <w:p>
            <w:pPr>
              <w:spacing w:after="0" w:before="0"/>
            </w:pPr>
            <w:r>
              <w:rPr>
                <w:color w:val="1A252F"/>
                <w:sz w:val="18"/>
              </w:rPr>
              <w:t>Phase 3: Seeking Deity Permission</w:t>
            </w:r>
          </w:p>
        </w:tc>
        <w:tc>
          <w:tcPr>
            <w:tcW w:type="dxa" w:w="2340"/>
            <w:shd w:fill="FFFFFF"/>
            <w:tcMar>
              <w:top w:w="80" w:type="dxa"/>
              <w:bottom w:w="80" w:type="dxa"/>
              <w:left w:w="120" w:type="dxa"/>
              <w:right w:w="120" w:type="dxa"/>
            </w:tcMar>
          </w:tcPr>
          <w:p>
            <w:pPr>
              <w:spacing w:after="0" w:before="0"/>
            </w:pPr>
            <w:r>
              <w:rPr>
                <w:color w:val="1A252F"/>
                <w:sz w:val="18"/>
              </w:rPr>
              <w:t>Kāchan Gādī</w:t>
            </w:r>
          </w:p>
        </w:tc>
        <w:tc>
          <w:tcPr>
            <w:tcW w:type="dxa" w:w="2340"/>
            <w:shd w:fill="FFFFFF"/>
            <w:tcMar>
              <w:top w:w="80" w:type="dxa"/>
              <w:bottom w:w="80" w:type="dxa"/>
              <w:left w:w="120" w:type="dxa"/>
              <w:right w:w="120" w:type="dxa"/>
            </w:tcMar>
          </w:tcPr>
          <w:p>
            <w:pPr>
              <w:spacing w:after="0" w:before="0"/>
            </w:pPr>
            <w:r>
              <w:rPr>
                <w:color w:val="1A252F"/>
                <w:sz w:val="18"/>
              </w:rPr>
              <w:t>Ashvina Amavasya</w:t>
            </w:r>
          </w:p>
        </w:tc>
        <w:tc>
          <w:tcPr>
            <w:tcW w:type="dxa" w:w="2340"/>
            <w:shd w:fill="FFFFFF"/>
            <w:tcMar>
              <w:top w:w="80" w:type="dxa"/>
              <w:bottom w:w="80" w:type="dxa"/>
              <w:left w:w="120" w:type="dxa"/>
              <w:right w:w="120" w:type="dxa"/>
            </w:tcMar>
          </w:tcPr>
          <w:p>
            <w:pPr>
              <w:spacing w:after="0" w:before="0"/>
            </w:pPr>
            <w:r>
              <w:rPr>
                <w:color w:val="1A252F"/>
                <w:sz w:val="18"/>
              </w:rPr>
              <w:t>Young girl from Weaver (Mahra) caste swung on thorn bed (Kachan Devi) to grant royal consent</w:t>
            </w:r>
          </w:p>
        </w:tc>
      </w:tr>
      <w:tr>
        <w:tc>
          <w:tcPr>
            <w:tcW w:type="dxa" w:w="2340"/>
            <w:shd w:fill="F9FBF9"/>
            <w:tcMar>
              <w:top w:w="80" w:type="dxa"/>
              <w:bottom w:w="80" w:type="dxa"/>
              <w:left w:w="120" w:type="dxa"/>
              <w:right w:w="120" w:type="dxa"/>
            </w:tcMar>
          </w:tcPr>
          <w:p>
            <w:pPr>
              <w:spacing w:after="0" w:before="0"/>
            </w:pPr>
            <w:r>
              <w:rPr>
                <w:color w:val="1A252F"/>
                <w:sz w:val="18"/>
              </w:rPr>
              <w:t>Phase 4: Ascetic Penance for Peace</w:t>
            </w:r>
          </w:p>
        </w:tc>
        <w:tc>
          <w:tcPr>
            <w:tcW w:type="dxa" w:w="2340"/>
            <w:shd w:fill="F9FBF9"/>
            <w:tcMar>
              <w:top w:w="80" w:type="dxa"/>
              <w:bottom w:w="80" w:type="dxa"/>
              <w:left w:w="120" w:type="dxa"/>
              <w:right w:w="120" w:type="dxa"/>
            </w:tcMar>
          </w:tcPr>
          <w:p>
            <w:pPr>
              <w:spacing w:after="0" w:before="0"/>
            </w:pPr>
            <w:r>
              <w:rPr>
                <w:color w:val="1A252F"/>
                <w:sz w:val="18"/>
              </w:rPr>
              <w:t>Jōgī Bithāī</w:t>
            </w:r>
          </w:p>
        </w:tc>
        <w:tc>
          <w:tcPr>
            <w:tcW w:type="dxa" w:w="2340"/>
            <w:shd w:fill="F9FBF9"/>
            <w:tcMar>
              <w:top w:w="80" w:type="dxa"/>
              <w:bottom w:w="80" w:type="dxa"/>
              <w:left w:w="120" w:type="dxa"/>
              <w:right w:w="120" w:type="dxa"/>
            </w:tcMar>
          </w:tcPr>
          <w:p>
            <w:pPr>
              <w:spacing w:after="0" w:before="0"/>
            </w:pPr>
            <w:r>
              <w:rPr>
                <w:color w:val="1A252F"/>
                <w:sz w:val="18"/>
              </w:rPr>
              <w:t>Ashvina Shukla Pratipada</w:t>
            </w:r>
          </w:p>
        </w:tc>
        <w:tc>
          <w:tcPr>
            <w:tcW w:type="dxa" w:w="2340"/>
            <w:shd w:fill="F9FBF9"/>
            <w:tcMar>
              <w:top w:w="80" w:type="dxa"/>
              <w:bottom w:w="80" w:type="dxa"/>
              <w:left w:w="120" w:type="dxa"/>
              <w:right w:w="120" w:type="dxa"/>
            </w:tcMar>
          </w:tcPr>
          <w:p>
            <w:pPr>
              <w:spacing w:after="0" w:before="0"/>
            </w:pPr>
            <w:r>
              <w:rPr>
                <w:color w:val="1A252F"/>
                <w:sz w:val="18"/>
              </w:rPr>
              <w:t>A youth from the Halba community sits in deep buried penance for 9 days in Bastar Palace</w:t>
            </w:r>
          </w:p>
        </w:tc>
      </w:tr>
      <w:tr>
        <w:tc>
          <w:tcPr>
            <w:tcW w:type="dxa" w:w="2340"/>
            <w:shd w:fill="FFFFFF"/>
            <w:tcMar>
              <w:top w:w="80" w:type="dxa"/>
              <w:bottom w:w="80" w:type="dxa"/>
              <w:left w:w="120" w:type="dxa"/>
              <w:right w:w="120" w:type="dxa"/>
            </w:tcMar>
          </w:tcPr>
          <w:p>
            <w:pPr>
              <w:spacing w:after="0" w:before="0"/>
            </w:pPr>
            <w:r>
              <w:rPr>
                <w:color w:val="1A252F"/>
                <w:sz w:val="18"/>
              </w:rPr>
              <w:t>Phase 5: Flower Chariot Procession</w:t>
            </w:r>
          </w:p>
        </w:tc>
        <w:tc>
          <w:tcPr>
            <w:tcW w:type="dxa" w:w="2340"/>
            <w:shd w:fill="FFFFFF"/>
            <w:tcMar>
              <w:top w:w="80" w:type="dxa"/>
              <w:bottom w:w="80" w:type="dxa"/>
              <w:left w:w="120" w:type="dxa"/>
              <w:right w:w="120" w:type="dxa"/>
            </w:tcMar>
          </w:tcPr>
          <w:p>
            <w:pPr>
              <w:spacing w:after="0" w:before="0"/>
            </w:pPr>
            <w:r>
              <w:rPr>
                <w:color w:val="1A252F"/>
                <w:sz w:val="18"/>
              </w:rPr>
              <w:t>Phūl Rath Yātrā</w:t>
            </w:r>
          </w:p>
        </w:tc>
        <w:tc>
          <w:tcPr>
            <w:tcW w:type="dxa" w:w="2340"/>
            <w:shd w:fill="FFFFFF"/>
            <w:tcMar>
              <w:top w:w="80" w:type="dxa"/>
              <w:bottom w:w="80" w:type="dxa"/>
              <w:left w:w="120" w:type="dxa"/>
              <w:right w:w="120" w:type="dxa"/>
            </w:tcMar>
          </w:tcPr>
          <w:p>
            <w:pPr>
              <w:spacing w:after="0" w:before="0"/>
            </w:pPr>
            <w:r>
              <w:rPr>
                <w:color w:val="1A252F"/>
                <w:sz w:val="18"/>
              </w:rPr>
              <w:t>Ashvina Shukla Dvitiya - Ashtami</w:t>
            </w:r>
          </w:p>
        </w:tc>
        <w:tc>
          <w:tcPr>
            <w:tcW w:type="dxa" w:w="2340"/>
            <w:shd w:fill="FFFFFF"/>
            <w:tcMar>
              <w:top w:w="80" w:type="dxa"/>
              <w:bottom w:w="80" w:type="dxa"/>
              <w:left w:w="120" w:type="dxa"/>
              <w:right w:w="120" w:type="dxa"/>
            </w:tcMar>
          </w:tcPr>
          <w:p>
            <w:pPr>
              <w:spacing w:after="0" w:before="0"/>
            </w:pPr>
            <w:r>
              <w:rPr>
                <w:color w:val="1A252F"/>
                <w:sz w:val="18"/>
              </w:rPr>
              <w:t>Four-wheeled chariot pulled through Jagdalpur by thousands of tribal youth</w:t>
            </w:r>
          </w:p>
        </w:tc>
      </w:tr>
      <w:tr>
        <w:tc>
          <w:tcPr>
            <w:tcW w:type="dxa" w:w="2340"/>
            <w:shd w:fill="F9FBF9"/>
            <w:tcMar>
              <w:top w:w="80" w:type="dxa"/>
              <w:bottom w:w="80" w:type="dxa"/>
              <w:left w:w="120" w:type="dxa"/>
              <w:right w:w="120" w:type="dxa"/>
            </w:tcMar>
          </w:tcPr>
          <w:p>
            <w:pPr>
              <w:spacing w:after="0" w:before="0"/>
            </w:pPr>
            <w:r>
              <w:rPr>
                <w:color w:val="1A252F"/>
                <w:sz w:val="18"/>
              </w:rPr>
              <w:t>Phase 6: Midnight Tantric Puja</w:t>
            </w:r>
          </w:p>
        </w:tc>
        <w:tc>
          <w:tcPr>
            <w:tcW w:type="dxa" w:w="2340"/>
            <w:shd w:fill="F9FBF9"/>
            <w:tcMar>
              <w:top w:w="80" w:type="dxa"/>
              <w:bottom w:w="80" w:type="dxa"/>
              <w:left w:w="120" w:type="dxa"/>
              <w:right w:w="120" w:type="dxa"/>
            </w:tcMar>
          </w:tcPr>
          <w:p>
            <w:pPr>
              <w:spacing w:after="0" w:before="0"/>
            </w:pPr>
            <w:r>
              <w:rPr>
                <w:color w:val="1A252F"/>
                <w:sz w:val="18"/>
              </w:rPr>
              <w:t>Nishā Jātrā</w:t>
            </w:r>
          </w:p>
        </w:tc>
        <w:tc>
          <w:tcPr>
            <w:tcW w:type="dxa" w:w="2340"/>
            <w:shd w:fill="F9FBF9"/>
            <w:tcMar>
              <w:top w:w="80" w:type="dxa"/>
              <w:bottom w:w="80" w:type="dxa"/>
              <w:left w:w="120" w:type="dxa"/>
              <w:right w:w="120" w:type="dxa"/>
            </w:tcMar>
          </w:tcPr>
          <w:p>
            <w:pPr>
              <w:spacing w:after="0" w:before="0"/>
            </w:pPr>
            <w:r>
              <w:rPr>
                <w:color w:val="1A252F"/>
                <w:sz w:val="18"/>
              </w:rPr>
              <w:t>Ashvina Shukla Ashtami</w:t>
            </w:r>
          </w:p>
        </w:tc>
        <w:tc>
          <w:tcPr>
            <w:tcW w:type="dxa" w:w="2340"/>
            <w:shd w:fill="F9FBF9"/>
            <w:tcMar>
              <w:top w:w="80" w:type="dxa"/>
              <w:bottom w:w="80" w:type="dxa"/>
              <w:left w:w="120" w:type="dxa"/>
              <w:right w:w="120" w:type="dxa"/>
            </w:tcMar>
          </w:tcPr>
          <w:p>
            <w:pPr>
              <w:spacing w:after="0" w:before="0"/>
            </w:pPr>
            <w:r>
              <w:rPr>
                <w:color w:val="1A252F"/>
                <w:sz w:val="18"/>
              </w:rPr>
              <w:t>Esoteric midnight animal sacrifices and royal weapon consecration at Danteshwari temple</w:t>
            </w:r>
          </w:p>
        </w:tc>
      </w:tr>
      <w:tr>
        <w:tc>
          <w:tcPr>
            <w:tcW w:type="dxa" w:w="2340"/>
            <w:shd w:fill="FFFFFF"/>
            <w:tcMar>
              <w:top w:w="80" w:type="dxa"/>
              <w:bottom w:w="80" w:type="dxa"/>
              <w:left w:w="120" w:type="dxa"/>
              <w:right w:w="120" w:type="dxa"/>
            </w:tcMar>
          </w:tcPr>
          <w:p>
            <w:pPr>
              <w:spacing w:after="0" w:before="0"/>
            </w:pPr>
            <w:r>
              <w:rPr>
                <w:color w:val="1A252F"/>
                <w:sz w:val="18"/>
              </w:rPr>
              <w:t>Phase 7: Welcoming the Elder Sister</w:t>
            </w:r>
          </w:p>
        </w:tc>
        <w:tc>
          <w:tcPr>
            <w:tcW w:type="dxa" w:w="2340"/>
            <w:shd w:fill="FFFFFF"/>
            <w:tcMar>
              <w:top w:w="80" w:type="dxa"/>
              <w:bottom w:w="80" w:type="dxa"/>
              <w:left w:w="120" w:type="dxa"/>
              <w:right w:w="120" w:type="dxa"/>
            </w:tcMar>
          </w:tcPr>
          <w:p>
            <w:pPr>
              <w:spacing w:after="0" w:before="0"/>
            </w:pPr>
            <w:r>
              <w:rPr>
                <w:color w:val="1A252F"/>
                <w:sz w:val="18"/>
              </w:rPr>
              <w:t>Māvlī Parghav</w:t>
            </w:r>
          </w:p>
        </w:tc>
        <w:tc>
          <w:tcPr>
            <w:tcW w:type="dxa" w:w="2340"/>
            <w:shd w:fill="FFFFFF"/>
            <w:tcMar>
              <w:top w:w="80" w:type="dxa"/>
              <w:bottom w:w="80" w:type="dxa"/>
              <w:left w:w="120" w:type="dxa"/>
              <w:right w:w="120" w:type="dxa"/>
            </w:tcMar>
          </w:tcPr>
          <w:p>
            <w:pPr>
              <w:spacing w:after="0" w:before="0"/>
            </w:pPr>
            <w:r>
              <w:rPr>
                <w:color w:val="1A252F"/>
                <w:sz w:val="18"/>
              </w:rPr>
              <w:t>Ashvina Shukla Navami</w:t>
            </w:r>
          </w:p>
        </w:tc>
        <w:tc>
          <w:tcPr>
            <w:tcW w:type="dxa" w:w="2340"/>
            <w:shd w:fill="FFFFFF"/>
            <w:tcMar>
              <w:top w:w="80" w:type="dxa"/>
              <w:bottom w:w="80" w:type="dxa"/>
              <w:left w:w="120" w:type="dxa"/>
              <w:right w:w="120" w:type="dxa"/>
            </w:tcMar>
          </w:tcPr>
          <w:p>
            <w:pPr>
              <w:spacing w:after="0" w:before="0"/>
            </w:pPr>
            <w:r>
              <w:rPr>
                <w:color w:val="1A252F"/>
                <w:sz w:val="18"/>
              </w:rPr>
              <w:t>Procession from Dantewada arrives; King carries palanquin of Mawli Mata into the Palace</w:t>
            </w:r>
          </w:p>
        </w:tc>
      </w:tr>
      <w:tr>
        <w:tc>
          <w:tcPr>
            <w:tcW w:type="dxa" w:w="2340"/>
            <w:shd w:fill="F9FBF9"/>
            <w:tcMar>
              <w:top w:w="80" w:type="dxa"/>
              <w:bottom w:w="80" w:type="dxa"/>
              <w:left w:w="120" w:type="dxa"/>
              <w:right w:w="120" w:type="dxa"/>
            </w:tcMar>
          </w:tcPr>
          <w:p>
            <w:pPr>
              <w:spacing w:after="0" w:before="0"/>
            </w:pPr>
            <w:r>
              <w:rPr>
                <w:color w:val="1A252F"/>
                <w:sz w:val="18"/>
              </w:rPr>
              <w:t>Phase 8: Great Chariot Procession</w:t>
            </w:r>
          </w:p>
        </w:tc>
        <w:tc>
          <w:tcPr>
            <w:tcW w:type="dxa" w:w="2340"/>
            <w:shd w:fill="F9FBF9"/>
            <w:tcMar>
              <w:top w:w="80" w:type="dxa"/>
              <w:bottom w:w="80" w:type="dxa"/>
              <w:left w:w="120" w:type="dxa"/>
              <w:right w:w="120" w:type="dxa"/>
            </w:tcMar>
          </w:tcPr>
          <w:p>
            <w:pPr>
              <w:spacing w:after="0" w:before="0"/>
            </w:pPr>
            <w:r>
              <w:rPr>
                <w:color w:val="1A252F"/>
                <w:sz w:val="18"/>
              </w:rPr>
              <w:t>Bītar Rainī (Vijay Rath)</w:t>
            </w:r>
          </w:p>
        </w:tc>
        <w:tc>
          <w:tcPr>
            <w:tcW w:type="dxa" w:w="2340"/>
            <w:shd w:fill="F9FBF9"/>
            <w:tcMar>
              <w:top w:w="80" w:type="dxa"/>
              <w:bottom w:w="80" w:type="dxa"/>
              <w:left w:w="120" w:type="dxa"/>
              <w:right w:w="120" w:type="dxa"/>
            </w:tcMar>
          </w:tcPr>
          <w:p>
            <w:pPr>
              <w:spacing w:after="0" w:before="0"/>
            </w:pPr>
            <w:r>
              <w:rPr>
                <w:color w:val="1A252F"/>
                <w:sz w:val="18"/>
              </w:rPr>
              <w:t>Ashvina Shukla Dashami (Dussehra)</w:t>
            </w:r>
          </w:p>
        </w:tc>
        <w:tc>
          <w:tcPr>
            <w:tcW w:type="dxa" w:w="2340"/>
            <w:shd w:fill="F9FBF9"/>
            <w:tcMar>
              <w:top w:w="80" w:type="dxa"/>
              <w:bottom w:w="80" w:type="dxa"/>
              <w:left w:w="120" w:type="dxa"/>
              <w:right w:w="120" w:type="dxa"/>
            </w:tcMar>
          </w:tcPr>
          <w:p>
            <w:pPr>
              <w:spacing w:after="0" w:before="0"/>
            </w:pPr>
            <w:r>
              <w:rPr>
                <w:color w:val="1A252F"/>
                <w:sz w:val="18"/>
              </w:rPr>
              <w:t>Eight-wheeled massive chariot pulled; King rides with royal emblems</w:t>
            </w:r>
          </w:p>
        </w:tc>
      </w:tr>
      <w:tr>
        <w:tc>
          <w:tcPr>
            <w:tcW w:type="dxa" w:w="2340"/>
            <w:shd w:fill="FFFFFF"/>
            <w:tcMar>
              <w:top w:w="80" w:type="dxa"/>
              <w:bottom w:w="80" w:type="dxa"/>
              <w:left w:w="120" w:type="dxa"/>
              <w:right w:w="120" w:type="dxa"/>
            </w:tcMar>
          </w:tcPr>
          <w:p>
            <w:pPr>
              <w:spacing w:after="0" w:before="0"/>
            </w:pPr>
            <w:r>
              <w:rPr>
                <w:color w:val="1A252F"/>
                <w:sz w:val="18"/>
              </w:rPr>
              <w:t>Phase 9: Chariot Abduction Drama</w:t>
            </w:r>
          </w:p>
        </w:tc>
        <w:tc>
          <w:tcPr>
            <w:tcW w:type="dxa" w:w="2340"/>
            <w:shd w:fill="FFFFFF"/>
            <w:tcMar>
              <w:top w:w="80" w:type="dxa"/>
              <w:bottom w:w="80" w:type="dxa"/>
              <w:left w:w="120" w:type="dxa"/>
              <w:right w:w="120" w:type="dxa"/>
            </w:tcMar>
          </w:tcPr>
          <w:p>
            <w:pPr>
              <w:spacing w:after="0" w:before="0"/>
            </w:pPr>
            <w:r>
              <w:rPr>
                <w:color w:val="1A252F"/>
                <w:sz w:val="18"/>
              </w:rPr>
              <w:t>Bāhar Rainī</w:t>
            </w:r>
          </w:p>
        </w:tc>
        <w:tc>
          <w:tcPr>
            <w:tcW w:type="dxa" w:w="2340"/>
            <w:shd w:fill="FFFFFF"/>
            <w:tcMar>
              <w:top w:w="80" w:type="dxa"/>
              <w:bottom w:w="80" w:type="dxa"/>
              <w:left w:w="120" w:type="dxa"/>
              <w:right w:w="120" w:type="dxa"/>
            </w:tcMar>
          </w:tcPr>
          <w:p>
            <w:pPr>
              <w:spacing w:after="0" w:before="0"/>
            </w:pPr>
            <w:r>
              <w:rPr>
                <w:color w:val="1A252F"/>
                <w:sz w:val="18"/>
              </w:rPr>
              <w:t>Ashvina Shukla Ekadashi</w:t>
            </w:r>
          </w:p>
        </w:tc>
        <w:tc>
          <w:tcPr>
            <w:tcW w:type="dxa" w:w="2340"/>
            <w:shd w:fill="FFFFFF"/>
            <w:tcMar>
              <w:top w:w="80" w:type="dxa"/>
              <w:bottom w:w="80" w:type="dxa"/>
              <w:left w:w="120" w:type="dxa"/>
              <w:right w:w="120" w:type="dxa"/>
            </w:tcMar>
          </w:tcPr>
          <w:p>
            <w:pPr>
              <w:spacing w:after="0" w:before="0"/>
            </w:pPr>
            <w:r>
              <w:rPr>
                <w:color w:val="1A252F"/>
                <w:sz w:val="18"/>
              </w:rPr>
              <w:t>Muria/Maria youths playfully 'steal' the chariot to Kumhrakot forest; King reconciles over forest feast</w:t>
            </w:r>
          </w:p>
        </w:tc>
      </w:tr>
      <w:tr>
        <w:tc>
          <w:tcPr>
            <w:tcW w:type="dxa" w:w="2340"/>
            <w:shd w:fill="F9FBF9"/>
            <w:tcMar>
              <w:top w:w="80" w:type="dxa"/>
              <w:bottom w:w="80" w:type="dxa"/>
              <w:left w:w="120" w:type="dxa"/>
              <w:right w:w="120" w:type="dxa"/>
            </w:tcMar>
          </w:tcPr>
          <w:p>
            <w:pPr>
              <w:spacing w:after="0" w:before="0"/>
            </w:pPr>
            <w:r>
              <w:rPr>
                <w:color w:val="1A252F"/>
                <w:sz w:val="18"/>
              </w:rPr>
              <w:t>Phase 10: Farewell &amp; Consecration</w:t>
            </w:r>
          </w:p>
        </w:tc>
        <w:tc>
          <w:tcPr>
            <w:tcW w:type="dxa" w:w="2340"/>
            <w:shd w:fill="F9FBF9"/>
            <w:tcMar>
              <w:top w:w="80" w:type="dxa"/>
              <w:bottom w:w="80" w:type="dxa"/>
              <w:left w:w="120" w:type="dxa"/>
              <w:right w:w="120" w:type="dxa"/>
            </w:tcMar>
          </w:tcPr>
          <w:p>
            <w:pPr>
              <w:spacing w:after="0" w:before="0"/>
            </w:pPr>
            <w:r>
              <w:rPr>
                <w:color w:val="1A252F"/>
                <w:sz w:val="18"/>
              </w:rPr>
              <w:t>Ohādī &amp; Bidāī</w:t>
            </w:r>
          </w:p>
        </w:tc>
        <w:tc>
          <w:tcPr>
            <w:tcW w:type="dxa" w:w="2340"/>
            <w:shd w:fill="F9FBF9"/>
            <w:tcMar>
              <w:top w:w="80" w:type="dxa"/>
              <w:bottom w:w="80" w:type="dxa"/>
              <w:left w:w="120" w:type="dxa"/>
              <w:right w:w="120" w:type="dxa"/>
            </w:tcMar>
          </w:tcPr>
          <w:p>
            <w:pPr>
              <w:spacing w:after="0" w:before="0"/>
            </w:pPr>
            <w:r>
              <w:rPr>
                <w:color w:val="1A252F"/>
                <w:sz w:val="18"/>
              </w:rPr>
              <w:t>Ashvina Shukla Trayodashi</w:t>
            </w:r>
          </w:p>
        </w:tc>
        <w:tc>
          <w:tcPr>
            <w:tcW w:type="dxa" w:w="2340"/>
            <w:shd w:fill="F9FBF9"/>
            <w:tcMar>
              <w:top w:w="80" w:type="dxa"/>
              <w:bottom w:w="80" w:type="dxa"/>
              <w:left w:w="120" w:type="dxa"/>
              <w:right w:w="120" w:type="dxa"/>
            </w:tcMar>
          </w:tcPr>
          <w:p>
            <w:pPr>
              <w:spacing w:after="0" w:before="0"/>
            </w:pPr>
            <w:r>
              <w:rPr>
                <w:color w:val="1A252F"/>
                <w:sz w:val="18"/>
              </w:rPr>
              <w:t>Deities return to their respective village Devigudis; King distributes traditional turbans (Pagdi)</w:t>
            </w:r>
          </w:p>
        </w:tc>
      </w:tr>
    </w:tbl>
    <w:p>
      <w:pPr>
        <w:spacing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