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23. Other Festivals and Cultural Calendar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Goncha, Madai Fairs, Kaksar, Mati Puja, Hareli, Pola, and Nawakhani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BST-DOC-023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 Division Cultural Calendar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Festivals, Agrarian Rituals &amp; Seasonal Fairs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(Tribal Research Institute Raipur, Field Documentation)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The Indigenous Annual Festive Cycle</w:t>
      </w:r>
    </w:p>
    <w:p>
      <w:r>
        <w:t>Beyond Bastar Dussehra, the cultural calendar revolves around agrarian phenology, forest gathering, and clan reunions:</w:t>
        <w:br/>
        <w:t>• Goncha Festival (Chariot Festival of Jagannath): Celebrated in Ashadha (June-July). Tribal participants use mock bamboo pistols called 'Tupki' loaded with Peng fruit bullets to salute Lord Jagannath, Subhadra, and Balabhadra.</w:t>
        <w:br/>
        <w:t>• Madai Fairs: Massive regional trading and spiritual carnivals rotating across towns (Narayanpur Madai, Dantewada Madai, Kondagaon Madai) where village deities are paraded on bamboo palanquins (Lath) and youth meet for matrimonial alliances.</w:t>
        <w:br/>
        <w:t>• Mati Puja: Earth festival celebrating the fertility of Mother Earth prior to sowing.</w:t>
        <w:br/>
        <w:t>• Aamakhani &amp; Nawakhani: First-fruit festivals where mangoes and newly harvested rice are ritually tasted only after ancestral offerings.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