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8B3A1C"/>
          <w:sz w:val="44"/>
        </w:rPr>
        <w:t>25. Oral Traditions and Storytelling</w:t>
      </w:r>
    </w:p>
    <w:p>
      <w:pPr>
        <w:spacing w:before="0" w:after="280"/>
        <w:jc w:val="left"/>
      </w:pPr>
      <w:r>
        <w:rPr>
          <w:rFonts w:ascii="Calibri" w:hAnsi="Calibri"/>
          <w:i/>
          <w:color w:val="2D5A27"/>
          <w:sz w:val="26"/>
        </w:rPr>
        <w:t>The Pradhan Bards, the Kingri/Bana Instrument, and Living Epics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59B27"/>
          <w:bottom w:val="single" w:sz="8" w:space="0" w:color="C59B27"/>
          <w:insideH w:val="single" w:sz="8" w:space="0" w:color="C59B27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Document ID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BST-DOC-025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Geographic Scope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Gondi Linguistic Zone &amp; Bardic Circuits of Bastar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Primary Classification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Oral Literature, Ethnomusicology &amp; Memory Studies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Confidence Level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HIGH (Gondwana Academy Studies, Tribal Research Institute)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Last Verified Date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2026-09-07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8B3A1C"/>
          <w:sz w:val="30"/>
        </w:rPr>
        <w:t>1. The Hereditary Bardic Institution (Pradhans / Pardhans)</w:t>
      </w:r>
    </w:p>
    <w:p>
      <w:r>
        <w:t>The genealogical memory and sacred literature of the Gond clans are preserved by hereditary bards known as Pradhans. Accompanying themselves on the 'Bana' (a three-stringed bowed lute crafted from Gmelina arborea wood and horsehair), the Pradhan recites multi-day epics recounting clan migrations, battles, moral philosophies, and cosmic births. This oral literature functions as an unwritten constitution and living archive of the Gond civilization.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595959"/>
        <w:sz w:val="17"/>
      </w:rPr>
      <w:t>Confidential Academic &amp; Cultural Knowledge Base (2026)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Bastar Heritage Research Initiative | Multidisciplinary Digital Archive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5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