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26. Bastar Art and Visual Culture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Indigenous Aesthetics, Geometric Abstraction, Murals, and Symbolic Motifs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BST-DOC-026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Craft Clusters (Kondagaon, Jagdalpur, Tokapal, Narayanpur)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Art History, Indigenous Aesthetics &amp; Visual Anthropology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(National Museum New Delhi, Crafts Council of India, GI Registry)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Visual Semiotics of Bastar Art</w:t>
      </w:r>
    </w:p>
    <w:p>
      <w:r>
        <w:t>Bastar visual art is rooted in an organic animism where forms are simplified into dynamic geometric lines, elongated limbs, and rhythmic repetitions. Key visual motifs include:</w:t>
        <w:br/>
        <w:t>• Sun and Moon: Cosmic witnesses of human contracts and agricultural fertility.</w:t>
        <w:br/>
        <w:t>• Horned Animals: The Indian Gaur (Bison) representing virility, stamina, and ancestral protection.</w:t>
        <w:br/>
        <w:t>• Tree of Life (Kalpavriksha): Sheltering birds, monkeys, snakes, and spirits in harmonic equilibrium.</w:t>
        <w:br/>
        <w:t>• Danteshwari / Anga Dev Shrines: Depicted as stylized chariots, palanquins, and oracular ladders.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