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28. Bastar Wood Carving</w:t>
      </w:r>
    </w:p>
    <w:p>
      <w:pPr>
        <w:spacing w:before="0" w:after="280"/>
        <w:jc w:val="left"/>
      </w:pPr>
      <w:r>
        <w:rPr>
          <w:rFonts w:ascii="Calibri" w:hAnsi="Calibri"/>
          <w:i/>
          <w:color w:val="2D5A27"/>
          <w:sz w:val="26"/>
        </w:rPr>
        <w:t>Badhai Artisan Guilds, Sacred Ghotul Pillars, Masks, and GI Status</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BST-DOC-028</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Bastar District, Kondagaon, Narayanpur (GI Tagged: Bastar Wooden Craft)</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Woodcraft, Material Culture &amp; Architectural Sculpture</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(Geographical Indications Registry, Ministry of Textiles GOI)</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Indigenous Woodcarving Traditions</w:t>
      </w:r>
    </w:p>
    <w:p>
      <w:r>
        <w:t>Bastar Wooden Craft (GI Application No. 84) is practiced by the Muria, Gond, and Badhai woodcarvers. Utilizing seasoned Teak (Tectona grandis), Sal (Shorea robusta), Shisham (Dalbergia latifolia), and White Kura wood, artisans carve intricate narrative reliefs. Primary objects include the iconic Ghotul central pillars (Kamba), funeral memorial pillars, ritual masks (Mukhota), tobacco containers (Chor), and royal doorways.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