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31. Bastar Terracotta and Pottery</w:t>
      </w:r>
    </w:p>
    <w:p>
      <w:pPr>
        <w:spacing w:before="0" w:after="280"/>
        <w:jc w:val="left"/>
      </w:pPr>
      <w:r>
        <w:rPr>
          <w:rFonts w:ascii="Calibri" w:hAnsi="Calibri"/>
          <w:i/>
          <w:color w:val="2D5A27"/>
          <w:sz w:val="26"/>
        </w:rPr>
        <w:t>Kumhar Votive Offerings, Sacred Elephants, and Khapra Roof Tiles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BST-DOC-031</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Nagarnar, Tokapal, Kondagaon, Kumhrawand</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Ceramic Heritage, Votive Terracotta &amp; Ethno-Pottery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(Crafts Council of India, Anthropological Survey)</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Votive Shrines and Terracotta Offerings</w:t>
      </w:r>
    </w:p>
    <w:p>
      <w:r>
        <w:t>Terracotta in Bastar serves a primarily sacred and votive purpose rather than utilitarian storage. The Kumhar community crafts majestic multi-tiered terracotta elephants (Hathi), horses (Ghoda), and bulls (Bail) adorned with clay bells and oil lamps. These are consecrated in sacred groves and Devigudis as substitute sacrificial offerings to appease forest deities and ward off epidemics.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