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32. Textiles, Clothing, and Adornment</w:t>
      </w:r>
    </w:p>
    <w:p>
      <w:pPr>
        <w:spacing w:before="0" w:after="280"/>
        <w:jc w:val="left"/>
      </w:pPr>
      <w:r>
        <w:rPr>
          <w:rFonts w:ascii="Calibri" w:hAnsi="Calibri"/>
          <w:i/>
          <w:color w:val="2D5A27"/>
          <w:sz w:val="26"/>
        </w:rPr>
        <w:t>Kosa Wild Silk, Kotpad Natural Dyes, Aal Tree Extract &amp; Weaving Heritage</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BST-DOC-032</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Bastar-Koraput Border (Kotpad), Jagdalpur, Kanker (Kosa Belt)</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Textile Heritage, Natural Dyes &amp; Weaving Anthropology</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(Textile Committee GOI, GI Registry for Kotpad Handloom)</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Natural Dye and Handloom Traditions</w:t>
      </w:r>
    </w:p>
    <w:p>
      <w:r>
        <w:t>Bastar's textile heritage spans wild sericulture and organic plant dyeing:</w:t>
        <w:br/>
        <w:t>• Kosa Silk: Reeled from wild Antheraea mylitta silkworm cocoons harvested from Sal and Asna forest trees.</w:t>
        <w:br/>
        <w:t>• Kotpad Handloom (GI Certified): Woven by Mirgan weavers on pit looms using unbleached organic cotton yarn dyed with the crushed roots of the Aal tree (Morinda citrifolia), producing characteristic deep madder red, rusty brown, and chocolate hues with tribal motifs (axes, fish, temples).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