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33. Tribal Jewellery and Ornaments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Brass, Silver, Cowrie Shells, Coin Necklaces, and Godna Tattoo Art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BST-DOC-033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All Indigenous Communities of Bastar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Body Adornment, Ethno-Jewellery &amp; Dermatoglyphic Art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(Anthropological Survey of India, National Museum)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Materiality of Body Ornaments</w:t>
      </w:r>
    </w:p>
    <w:p>
      <w:r>
        <w:t>Bastar tribal jewellery reflects ecological adaptation, prestige, and protective apotropaic symbolism:</w:t>
        <w:br/>
        <w:t>• Hasli &amp; Khagwali: Rigid, heavy silver and bell-metal neck torcs engraved with solar and floral patterns.</w:t>
        <w:br/>
        <w:t>• Rupiya Mala: Necklaces strung with British Indian silver rupee coins (Victoria, Edward VII, George V) signaling family wealth.</w:t>
        <w:br/>
        <w:t>• Cowrie Shell Bands: Adorning the forehead and headdresses of Maria dancers.</w:t>
        <w:br/>
        <w:t>• Godna (Traditional Tattooing): Permanent dermatoglyphic body art administered by specialized Godharin women, serving as indelible identity markers that accompany the human soul beyond physical death.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