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35. Dance and Performance Traditions</w:t>
      </w:r>
    </w:p>
    <w:p>
      <w:pPr>
        <w:spacing w:before="0" w:after="280"/>
        <w:jc w:val="left"/>
      </w:pPr>
      <w:r>
        <w:rPr>
          <w:rFonts w:ascii="Calibri" w:hAnsi="Calibri"/>
          <w:i/>
          <w:color w:val="2D5A27"/>
          <w:sz w:val="26"/>
        </w:rPr>
        <w:t>Gaur Dance, Gedi Acrobatics, Mandari, Kaksar, and Karma</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BST-DOC-035</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Bastar Division Performance Landscapes</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Ethnochoreology &amp; Performance Studies</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(Sangeet Natak Akademi, Indira Kala Sangit Vishwavidyalaya Khairagarh)</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The Living Choreographies of Bastar</w:t>
      </w:r>
    </w:p>
    <w:p>
      <w:r>
        <w:t>Bastar dances are characterized by egalitarian circular choreographies, interlocking arms, and synchronized ground stomping:</w:t>
        <w:br/>
        <w:t>• Gaur Dance (Bison Horn Dance): Performed by Dandami Maria men wearing towering headdresses of wild bison horns and peacock plumes, beating massive wooden drums hung from their necks, while women hold iron ringing sticks (Tirududi) in intricate rhythmic counterpoint.</w:t>
        <w:br/>
        <w:t>• Gedi Dance: Muria youth dance performed on high bamboo stilts with extraordinary acrobatic balance during the monsoon Hareli festival.</w:t>
        <w:br/>
        <w:t>• Kaksar Dance: Performed by Abujhmaria youth dressed in elaborate brass-belled skirts, seeking the blessings of Kaksar deity for fertility.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