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38. Traditional Occupations and Livelihoods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Agrarian Economy, Non-Timber Forest Produce Collection, and Craft Guilds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BST-DOC-038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Rural &amp; Forest Tracts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Rural Economics &amp; Occupational Sociology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(Census of India, TRI Raipur, District Economic Profiles)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Occupational Pluriactivity</w:t>
      </w:r>
    </w:p>
    <w:p>
      <w:r>
        <w:t>Bastar rural households practice seasonal occupational diversification (pluriactivity). Rather than relying on a single livelihood, families synchronize settled rain-fed agriculture (kharif season), dry season forest produce gathering (Mahua, Tendu, Harra, Baheda, Lac), artisanal craft manufacturing, and livestock rearing.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