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39. Agriculture and Farming Traditions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Paddy Varieties, Minor Millets, Swidden Penda Dynamics &amp; Seed Sovereignty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BST-DOC-039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Plateau Agrarian Basins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Agronomy, Ethno-Agriculture &amp; Crop Diversity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(Indira Gandhi Krishi Vishwavidyalaya Raipur, ICAR)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Agrarian Landscapes and Indigenous Seed Sovereignty</w:t>
      </w:r>
    </w:p>
    <w:p>
      <w:r>
        <w:t>Agricultural topography in Bastar is classified into four distinct elevation land types:</w:t>
        <w:br/>
        <w:t>1. Marhan: Upland stony slopes used for minor millets (Kodo, Kutki, Kosra).</w:t>
        <w:br/>
        <w:t>2. Tikra: Elevated light soils used for pulses, oilseeds (Niger/Ramtil), and maize.</w:t>
        <w:br/>
        <w:t>3. Mal: Mid-slope terraced fields with medium moisture for rainfed paddy.</w:t>
        <w:br/>
        <w:t>4. Gabhar / Bahal: Lowland deep fertile valleys retaining moisture for long-duration traditional aromatic rice varieties (e.g., Dubraj, Jawaphool, Badshahbhog).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