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42. Traditional Ecological Knowledge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Customary Conservation, Sacred Sanctuaries, and Water Harvesting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BST-DOC-042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Sacred Landscapes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Traditional Ecological Knowledge (TEK) &amp; Environmental Ethics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(UNESCO MAB Programme, Environmental Anthropological Research)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Customary Ecological Restraints and Taboos</w:t>
      </w:r>
    </w:p>
    <w:p>
      <w:r>
        <w:t>Bastar communities have maintained sustainable ecosystems for centuries through cultural taboos and seasonal bans:</w:t>
        <w:br/>
        <w:t>• Closed Hunting Seasons: Traditional hunting (Parad) is strictly restricted to ritual festival windows (e.g., Chaitrai Parad), ensuring breeding seasons of wild animals remain undisturbed.</w:t>
        <w:br/>
        <w:t>• Sacred Tree Inviolability: Prohibitions against cutting Mahua, Saja, or Banyan trees.</w:t>
        <w:br/>
        <w:t>• Sacred Grove Protection: Complete ban on timber felling, hunting, or grazing in community sacred groves (Devkot).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