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8B3A1C"/>
          <w:sz w:val="44"/>
        </w:rPr>
        <w:t>49. Temples and Religious Sites</w:t>
      </w:r>
    </w:p>
    <w:p>
      <w:pPr>
        <w:spacing w:before="0" w:after="280"/>
        <w:jc w:val="left"/>
      </w:pPr>
      <w:r>
        <w:rPr>
          <w:rFonts w:ascii="Calibri" w:hAnsi="Calibri"/>
          <w:i/>
          <w:color w:val="2D5A27"/>
          <w:sz w:val="26"/>
        </w:rPr>
        <w:t>Sacred Architecture: Nagara Shikharas, Phamsana Mandapas, and Tribal Shrines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59B27"/>
          <w:bottom w:val="single" w:sz="8" w:space="0" w:color="C59B27"/>
          <w:insideH w:val="single" w:sz="8" w:space="0" w:color="C59B27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Document ID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BST-DOC-049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Geographic Scope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Bastar Division Temple Complexes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Primary Classification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Temple Architecture, Iconography &amp; Religious Heritage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Confidence Level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HIGH (ASI Raipur Circle, State Protected Monuments)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Last Verified Date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2026-09-07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Calibri" w:hAnsi="Calibri"/>
          <w:b/>
          <w:color w:val="8B3A1C"/>
          <w:sz w:val="30"/>
        </w:rPr>
        <w:t>1. Stylistic Analysis of Bastar Temple Architecture</w:t>
      </w:r>
    </w:p>
    <w:p>
      <w:r>
        <w:t>Temples in Bastar exhibit a synthesis of Kalinga (Odisha) and Western Chalukyan architectural idioms modified to suit local grey chlorite and sandstone geology. The typical temple plan features a square Garbha Griha crowned by a stepped Nagara or Phamsana superstructure, preceded by an open hypostyle pillared Mandapa supported by lathe-turned or square-faceted stone pillars.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Calibri" w:hAnsi="Calibri"/>
        <w:color w:val="595959"/>
        <w:sz w:val="17"/>
      </w:rPr>
      <w:t>Confidential Academic &amp; Cultural Knowledge Base (2026)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7"/>
      </w:rPr>
      <w:t>Bastar Heritage Research Initiative | Multidisciplinary Digital Archive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5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