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51. Barsur Heritage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The City of 147 Temples and 147 Ponds: Battisa, Chandraditya, and Twin Ganesha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BST-DOC-051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Barsur Ancient City, Dantewada District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Archaeological Monograph &amp; Medieval Urban History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(Archaeological Survey of India Protected Monument Dossier)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The Medieval Metropolis of Barsur</w:t>
      </w:r>
    </w:p>
    <w:p>
      <w:r>
        <w:t>According to local historical memory and archaeological surveys, medieval Barsur was a sprawling garden city containing 147 stone temples and 147 excavated water tanks (Pokhars). Masterpieces surviving today include:</w:t>
        <w:br/>
        <w:t>• Battisa Temple (1208 CE): A unique flat-roofed hypostyle temple supported on 32 elaborately carved stone pillars, housing twin Shiva lingams in twin sanctums.</w:t>
        <w:br/>
        <w:t>• Chandraditya Temple: Built by Mahamandaleshvara Chandraditya (feudatory of Dharavarsha), facing a large stone-lined stepwell (Kund).</w:t>
        <w:br/>
        <w:t>• Twin Ganesha Monoliths: Two colossal monolithic Ganesha statues (the larger measuring 3.5 meters in height and 2.5 meters in width), sculpted from single granite boulders.</w:t>
        <w:br/>
        <w:t>• Mama-Bhanja Temple: A soaring 50-foot Nagara temple built by two master mason relatives, preserving full vertical shikhara geometry.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