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8B3A1C"/>
          <w:sz w:val="44"/>
        </w:rPr>
        <w:t>56. Bastar Palace and Royal Heritage</w:t>
      </w:r>
    </w:p>
    <w:p>
      <w:pPr>
        <w:spacing w:before="0" w:after="280"/>
        <w:jc w:val="left"/>
      </w:pPr>
      <w:r>
        <w:rPr>
          <w:rFonts w:ascii="Calibri" w:hAnsi="Calibri"/>
          <w:i/>
          <w:color w:val="2D5A27"/>
          <w:sz w:val="26"/>
        </w:rPr>
        <w:t>Jagdalpur Royal Residence: Architecture, Durbar Hall, Armory &amp; Historical Memory</w:t>
      </w:r>
    </w:p>
    <w:tbl>
      <w:tblPr>
        <w:tblW w:type="auto" w:w="0"/>
        <w:jc w:val="center"/>
        <w:tblLook w:firstColumn="1" w:firstRow="1" w:lastColumn="0" w:lastRow="0" w:noHBand="0" w:noVBand="1" w:val="04A0"/>
        <w:tblBorders>
          <w:top w:val="single" w:sz="8" w:space="0" w:color="C59B27"/>
          <w:bottom w:val="single" w:sz="8" w:space="0" w:color="C59B27"/>
          <w:insideH w:val="single" w:sz="8" w:space="0" w:color="C59B27"/>
          <w:insideV w:val="none"/>
          <w:left w:val="none"/>
          <w:right w:val="none"/>
        </w:tblBorders>
      </w:tblPr>
      <w:tblGrid>
        <w:gridCol w:w="4680"/>
        <w:gridCol w:w="4680"/>
      </w:tblGrid>
      <w:tr>
        <w:tc>
          <w:tcPr>
            <w:tcW w:type="dxa" w:w="3168"/>
            <w:shd w:fill="FDF8EE"/>
            <w:tcMar>
              <w:top w:w="80" w:type="dxa"/>
              <w:bottom w:w="80" w:type="dxa"/>
              <w:left w:w="120" w:type="dxa"/>
              <w:right w:w="120" w:type="dxa"/>
            </w:tcMar>
          </w:tcPr>
          <w:p>
            <w:pPr>
              <w:spacing w:after="0" w:before="0"/>
            </w:pPr>
            <w:r>
              <w:rPr>
                <w:b/>
                <w:color w:val="8B3A1C"/>
                <w:sz w:val="19"/>
              </w:rPr>
              <w:t>Document ID</w:t>
            </w:r>
          </w:p>
        </w:tc>
        <w:tc>
          <w:tcPr>
            <w:tcW w:type="dxa" w:w="6192"/>
            <w:shd w:fill="FFFFFF"/>
            <w:tcMar>
              <w:top w:w="80" w:type="dxa"/>
              <w:bottom w:w="80" w:type="dxa"/>
              <w:left w:w="120" w:type="dxa"/>
              <w:right w:w="120" w:type="dxa"/>
            </w:tcMar>
          </w:tcPr>
          <w:p>
            <w:pPr>
              <w:spacing w:after="0" w:before="0"/>
            </w:pPr>
            <w:r>
              <w:rPr>
                <w:color w:val="1A252F"/>
                <w:sz w:val="19"/>
              </w:rPr>
              <w:t>BST-DOC-056</w:t>
            </w:r>
          </w:p>
        </w:tc>
      </w:tr>
      <w:tr>
        <w:tc>
          <w:tcPr>
            <w:tcW w:type="dxa" w:w="3168"/>
            <w:shd w:fill="FDF8EE"/>
            <w:tcMar>
              <w:top w:w="80" w:type="dxa"/>
              <w:bottom w:w="80" w:type="dxa"/>
              <w:left w:w="120" w:type="dxa"/>
              <w:right w:w="120" w:type="dxa"/>
            </w:tcMar>
          </w:tcPr>
          <w:p>
            <w:pPr>
              <w:spacing w:after="0" w:before="0"/>
            </w:pPr>
            <w:r>
              <w:rPr>
                <w:b/>
                <w:color w:val="8B3A1C"/>
                <w:sz w:val="19"/>
              </w:rPr>
              <w:t>Geographic Scope</w:t>
            </w:r>
          </w:p>
        </w:tc>
        <w:tc>
          <w:tcPr>
            <w:tcW w:type="dxa" w:w="6192"/>
            <w:shd w:fill="FFFFFF"/>
            <w:tcMar>
              <w:top w:w="80" w:type="dxa"/>
              <w:bottom w:w="80" w:type="dxa"/>
              <w:left w:w="120" w:type="dxa"/>
              <w:right w:w="120" w:type="dxa"/>
            </w:tcMar>
          </w:tcPr>
          <w:p>
            <w:pPr>
              <w:spacing w:after="0" w:before="0"/>
            </w:pPr>
            <w:r>
              <w:rPr>
                <w:color w:val="1A252F"/>
                <w:sz w:val="19"/>
              </w:rPr>
              <w:t>Jagdalpur Royal Compound, Bastar District</w:t>
            </w:r>
          </w:p>
        </w:tc>
      </w:tr>
      <w:tr>
        <w:tc>
          <w:tcPr>
            <w:tcW w:type="dxa" w:w="3168"/>
            <w:shd w:fill="FDF8EE"/>
            <w:tcMar>
              <w:top w:w="80" w:type="dxa"/>
              <w:bottom w:w="80" w:type="dxa"/>
              <w:left w:w="120" w:type="dxa"/>
              <w:right w:w="120" w:type="dxa"/>
            </w:tcMar>
          </w:tcPr>
          <w:p>
            <w:pPr>
              <w:spacing w:after="0" w:before="0"/>
            </w:pPr>
            <w:r>
              <w:rPr>
                <w:b/>
                <w:color w:val="8B3A1C"/>
                <w:sz w:val="19"/>
              </w:rPr>
              <w:t>Primary Classification</w:t>
            </w:r>
          </w:p>
        </w:tc>
        <w:tc>
          <w:tcPr>
            <w:tcW w:type="dxa" w:w="6192"/>
            <w:shd w:fill="FFFFFF"/>
            <w:tcMar>
              <w:top w:w="80" w:type="dxa"/>
              <w:bottom w:w="80" w:type="dxa"/>
              <w:left w:w="120" w:type="dxa"/>
              <w:right w:w="120" w:type="dxa"/>
            </w:tcMar>
          </w:tcPr>
          <w:p>
            <w:pPr>
              <w:spacing w:after="0" w:before="0"/>
            </w:pPr>
            <w:r>
              <w:rPr>
                <w:color w:val="1A252F"/>
                <w:sz w:val="19"/>
              </w:rPr>
              <w:t>Palace Architecture, Royal Material Culture &amp; Political History</w:t>
            </w:r>
          </w:p>
        </w:tc>
      </w:tr>
      <w:tr>
        <w:tc>
          <w:tcPr>
            <w:tcW w:type="dxa" w:w="3168"/>
            <w:shd w:fill="FDF8EE"/>
            <w:tcMar>
              <w:top w:w="80" w:type="dxa"/>
              <w:bottom w:w="80" w:type="dxa"/>
              <w:left w:w="120" w:type="dxa"/>
              <w:right w:w="120" w:type="dxa"/>
            </w:tcMar>
          </w:tcPr>
          <w:p>
            <w:pPr>
              <w:spacing w:after="0" w:before="0"/>
            </w:pPr>
            <w:r>
              <w:rPr>
                <w:b/>
                <w:color w:val="8B3A1C"/>
                <w:sz w:val="19"/>
              </w:rPr>
              <w:t>Confidence Level</w:t>
            </w:r>
          </w:p>
        </w:tc>
        <w:tc>
          <w:tcPr>
            <w:tcW w:type="dxa" w:w="6192"/>
            <w:shd w:fill="FFFFFF"/>
            <w:tcMar>
              <w:top w:w="80" w:type="dxa"/>
              <w:bottom w:w="80" w:type="dxa"/>
              <w:left w:w="120" w:type="dxa"/>
              <w:right w:w="120" w:type="dxa"/>
            </w:tcMar>
          </w:tcPr>
          <w:p>
            <w:pPr>
              <w:spacing w:after="0" w:before="0"/>
            </w:pPr>
            <w:r>
              <w:rPr>
                <w:color w:val="1A252F"/>
                <w:sz w:val="19"/>
              </w:rPr>
              <w:t>HIGH (Royal Trust Records, CP Gazetteers, State Archives)</w:t>
            </w:r>
          </w:p>
        </w:tc>
      </w:tr>
      <w:tr>
        <w:tc>
          <w:tcPr>
            <w:tcW w:type="dxa" w:w="3168"/>
            <w:shd w:fill="FDF8EE"/>
            <w:tcMar>
              <w:top w:w="80" w:type="dxa"/>
              <w:bottom w:w="80" w:type="dxa"/>
              <w:left w:w="120" w:type="dxa"/>
              <w:right w:w="120" w:type="dxa"/>
            </w:tcMar>
          </w:tcPr>
          <w:p>
            <w:pPr>
              <w:spacing w:after="0" w:before="0"/>
            </w:pPr>
            <w:r>
              <w:rPr>
                <w:b/>
                <w:color w:val="8B3A1C"/>
                <w:sz w:val="19"/>
              </w:rPr>
              <w:t>Last Verified Date</w:t>
            </w:r>
          </w:p>
        </w:tc>
        <w:tc>
          <w:tcPr>
            <w:tcW w:type="dxa" w:w="6192"/>
            <w:shd w:fill="FFFFFF"/>
            <w:tcMar>
              <w:top w:w="80" w:type="dxa"/>
              <w:bottom w:w="80" w:type="dxa"/>
              <w:left w:w="120" w:type="dxa"/>
              <w:right w:w="120" w:type="dxa"/>
            </w:tcMar>
          </w:tcPr>
          <w:p>
            <w:pPr>
              <w:spacing w:after="0" w:before="0"/>
            </w:pPr>
            <w:r>
              <w:rPr>
                <w:color w:val="1A252F"/>
                <w:sz w:val="19"/>
              </w:rPr>
              <w:t>2026-09-07</w:t>
            </w:r>
          </w:p>
        </w:tc>
      </w:tr>
    </w:tbl>
    <w:p>
      <w:pPr>
        <w:spacing w:after="240"/>
      </w:pPr>
    </w:p>
    <w:p>
      <w:pPr>
        <w:keepNext/>
        <w:spacing w:before="320" w:after="120"/>
      </w:pPr>
      <w:r>
        <w:rPr>
          <w:rFonts w:ascii="Calibri" w:hAnsi="Calibri"/>
          <w:b/>
          <w:color w:val="8B3A1C"/>
          <w:sz w:val="30"/>
        </w:rPr>
        <w:t>1. Architectural Features and Historical Legacy</w:t>
      </w:r>
    </w:p>
    <w:p>
      <w:r>
        <w:t>The Bastar Palace at Jagdalpur was constructed by the Kakatiya rulers following the shift of the capital in 1777 CE and renovated by Maharaja Rudra Pratap Deo in the early 20th century. The palace exhibits a blend of traditional Rajput-Maratha arches with European colonial colonial verandas and high ceilings. Key sections include the Durbar Hall (where Dussehra tribal councils are convened), the Royal Danteshwari temple, and the private royal armory containing ancient matchlocks, curved swords, and tribal battle axes.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595959"/>
        <w:sz w:val="17"/>
      </w:rPr>
      <w:t>Confidential Academic &amp; Cultural Knowledge Base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Bastar Heritage Research Initiative | Multidisciplinary Digital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5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