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57. Jagdalpur and Cultural Capital Context</w:t>
      </w:r>
    </w:p>
    <w:p>
      <w:pPr>
        <w:spacing w:before="0" w:after="280"/>
        <w:jc w:val="left"/>
      </w:pPr>
      <w:r>
        <w:rPr>
          <w:rFonts w:ascii="Calibri" w:hAnsi="Calibri"/>
          <w:i/>
          <w:color w:val="2D5A27"/>
          <w:sz w:val="26"/>
        </w:rPr>
        <w:t>Urban History, Dalpat Sagar Lake, Haats, and Regional Gateway</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BST-DOC-057</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Jagdalpur Municipal Area &amp; Urban Fringe</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Urban Geography, Cultural Planning &amp; Regional Economics</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(Jagdalpur Municipal Corporation, Town &amp; Country Planning CG)</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Urban Evolution of Jagdalpur</w:t>
      </w:r>
    </w:p>
    <w:p>
      <w:r>
        <w:t>Founded as 'Jagattuguda' on the southern bank of the Indravati River, Jagdalpur was systematically planned around Dalpat Sagar—a massive man-made rainwater lake spanning over 350 hectares constructed by Maharaja Dalpat Deva in the 18th century. Today, Jagdalpur functions as the administrative, educational, commercial, and transportation nucleus of the entire Bastar division.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