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8B3A1C"/>
          <w:sz w:val="44"/>
        </w:rPr>
        <w:t>59. Sacred Groves and Sacred Landscapes</w:t>
      </w:r>
    </w:p>
    <w:p>
      <w:pPr>
        <w:spacing w:before="0" w:after="280"/>
        <w:jc w:val="left"/>
      </w:pPr>
      <w:r>
        <w:rPr>
          <w:rFonts w:ascii="Calibri" w:hAnsi="Calibri"/>
          <w:i/>
          <w:color w:val="2D5A27"/>
          <w:sz w:val="26"/>
        </w:rPr>
        <w:t>Devkot Ecology, Taboo Governance, Biocultural Refugia &amp; Biodiversity Preservation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59B27"/>
          <w:bottom w:val="single" w:sz="8" w:space="0" w:color="C59B27"/>
          <w:insideH w:val="single" w:sz="8" w:space="0" w:color="C59B27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Document ID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BST-DOC-059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Geographic Scope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Bastar Division Rural Landscape (Over 800 Documented Devkots)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Primary Classification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Sacred Ecology, Ethnobotany &amp; Conservation Anthropology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Confidence Level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HIGH (UNESCO Sacred Natural Sites Registry, Forest Dept CG)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Last Verified Date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2026-09-07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Calibri" w:hAnsi="Calibri"/>
          <w:b/>
          <w:color w:val="8B3A1C"/>
          <w:sz w:val="30"/>
        </w:rPr>
        <w:t>1. The Devkot System as Living Biocultural Sanctuaries</w:t>
      </w:r>
    </w:p>
    <w:p>
      <w:r>
        <w:t>In Bastar, sacred groves (locally known as 'Devkot' or 'Matagudi') constitute ancient patches of climax forest preserved inviolate through strict customary religious taboos. Dedicated to village deities and ancestral spirits, entering a Devkot with footwear, cutting timber, hunting, or gathering dry fuel wood is universally prohibited. As a result, Devkots serve as vital relic gene pools for endangered medicinal lianas, ancient Sal trees, subterranean springs, and rare birds.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Calibri" w:hAnsi="Calibri"/>
        <w:color w:val="595959"/>
        <w:sz w:val="17"/>
      </w:rPr>
      <w:t>Confidential Academic &amp; Cultural Knowledge Base (2026)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7"/>
      </w:rPr>
      <w:t>Bastar Heritage Research Initiative | Multidisciplinary Digital Archive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5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