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60. Tribal Markets and Haats</w:t>
      </w:r>
    </w:p>
    <w:p>
      <w:pPr>
        <w:spacing w:before="0" w:after="280"/>
        <w:jc w:val="left"/>
      </w:pPr>
      <w:r>
        <w:rPr>
          <w:rFonts w:ascii="Calibri" w:hAnsi="Calibri"/>
          <w:i/>
          <w:color w:val="2D5A27"/>
          <w:sz w:val="26"/>
        </w:rPr>
        <w:t>Weekly Haat Network: Tokapal, Narayanpur, Geedam: Barter, Cockfights, and Social Media</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BST-DOC-060</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Bastar Division Weekly Haat Circuits</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Economic Anthropology, Peasant Markets &amp; Information Networks</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(District Marketing Federations, Fieldwork Ethnography)</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The Multidimensional Function of Weekly Haats</w:t>
      </w:r>
    </w:p>
    <w:p>
      <w:r>
        <w:t>The weekly tribal market ('Haat-Bazaar') functions as the commercial, social, romantic, and news-disseminating heartbeat of Bastar life. Villagers walk dozens of kilometers carrying forest produce (Mahua, Tendu, honey, mushrooms) to exchange for salt, dried fish, iron tools, and cloth. Key haats include Tokapal (famous for pottery and metal craft), Narayanpur (famous for forest honey and cane), and Geedam (major agricultural hub). The haat also hosts traditional rooster fights ('Kukuda Ladai'), where razor-spurred cocks duel in intense community sporting rings governed by unwritten honour codes.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