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63. Literature and Bastar Cultural Representation</w:t>
      </w:r>
    </w:p>
    <w:p>
      <w:pPr>
        <w:spacing w:before="0" w:after="280"/>
        <w:jc w:val="left"/>
      </w:pPr>
      <w:r>
        <w:rPr>
          <w:rFonts w:ascii="Calibri" w:hAnsi="Calibri"/>
          <w:i/>
          <w:color w:val="2D5A27"/>
          <w:sz w:val="26"/>
        </w:rPr>
        <w:t>Historiography, Ethnographies, Hindi Literature, and Postcolonial Critique</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BST-DOC-063</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Scholarly Literature &amp; Creative Arts on Bastar</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Literary Criticism, Postcolonial Studies &amp; Cultural Representation</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(Academic Journals, Sahitya Akademi, Ethnographic Literature)</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Critical Analysis of Bastar in Literary Imagination</w:t>
      </w:r>
    </w:p>
    <w:p>
      <w:r>
        <w:t>Bastar has occupied a complex space in literary representation, oscillating between colonial 'noble savage' romanticism, sensationalized journalistic framing, and authentic subaltern tribal literature. Renowned Hindi writers such as Vinod Kumar Shukla and ethnographers have explored Bastar's deep forest consciousness, while modern Gondi poets and Halbi oral bards are reclaiming their historical narratives from external stereotypes.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