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8B3A1C"/>
          <w:sz w:val="44"/>
        </w:rPr>
        <w:t>64. Bastar in Indian History</w:t>
      </w:r>
    </w:p>
    <w:p>
      <w:pPr>
        <w:spacing w:before="0" w:after="280"/>
        <w:jc w:val="left"/>
      </w:pPr>
      <w:r>
        <w:rPr>
          <w:rFonts w:ascii="Calibri" w:hAnsi="Calibri"/>
          <w:i/>
          <w:color w:val="2D5A27"/>
          <w:sz w:val="26"/>
        </w:rPr>
        <w:t>Dandakaranya to Frontier Realm: Epic Geography, Chalukya Clashes &amp; Maratha Treaties</w:t>
      </w:r>
    </w:p>
    <w:tbl>
      <w:tblPr>
        <w:tblW w:type="auto" w:w="0"/>
        <w:jc w:val="center"/>
        <w:tblLook w:firstColumn="1" w:firstRow="1" w:lastColumn="0" w:lastRow="0" w:noHBand="0" w:noVBand="1" w:val="04A0"/>
        <w:tblBorders>
          <w:top w:val="single" w:sz="8" w:space="0" w:color="C59B27"/>
          <w:bottom w:val="single" w:sz="8" w:space="0" w:color="C59B27"/>
          <w:insideH w:val="single" w:sz="8" w:space="0" w:color="C59B27"/>
          <w:insideV w:val="none"/>
          <w:left w:val="none"/>
          <w:right w:val="none"/>
        </w:tblBorders>
      </w:tblPr>
      <w:tblGrid>
        <w:gridCol w:w="4680"/>
        <w:gridCol w:w="4680"/>
      </w:tblGrid>
      <w:tr>
        <w:tc>
          <w:tcPr>
            <w:tcW w:type="dxa" w:w="3168"/>
            <w:shd w:fill="FDF8EE"/>
            <w:tcMar>
              <w:top w:w="80" w:type="dxa"/>
              <w:bottom w:w="80" w:type="dxa"/>
              <w:left w:w="120" w:type="dxa"/>
              <w:right w:w="120" w:type="dxa"/>
            </w:tcMar>
          </w:tcPr>
          <w:p>
            <w:pPr>
              <w:spacing w:after="0" w:before="0"/>
            </w:pPr>
            <w:r>
              <w:rPr>
                <w:b/>
                <w:color w:val="8B3A1C"/>
                <w:sz w:val="19"/>
              </w:rPr>
              <w:t>Document ID</w:t>
            </w:r>
          </w:p>
        </w:tc>
        <w:tc>
          <w:tcPr>
            <w:tcW w:type="dxa" w:w="6192"/>
            <w:shd w:fill="FFFFFF"/>
            <w:tcMar>
              <w:top w:w="80" w:type="dxa"/>
              <w:bottom w:w="80" w:type="dxa"/>
              <w:left w:w="120" w:type="dxa"/>
              <w:right w:w="120" w:type="dxa"/>
            </w:tcMar>
          </w:tcPr>
          <w:p>
            <w:pPr>
              <w:spacing w:after="0" w:before="0"/>
            </w:pPr>
            <w:r>
              <w:rPr>
                <w:color w:val="1A252F"/>
                <w:sz w:val="19"/>
              </w:rPr>
              <w:t>BST-DOC-064</w:t>
            </w:r>
          </w:p>
        </w:tc>
      </w:tr>
      <w:tr>
        <w:tc>
          <w:tcPr>
            <w:tcW w:type="dxa" w:w="3168"/>
            <w:shd w:fill="FDF8EE"/>
            <w:tcMar>
              <w:top w:w="80" w:type="dxa"/>
              <w:bottom w:w="80" w:type="dxa"/>
              <w:left w:w="120" w:type="dxa"/>
              <w:right w:w="120" w:type="dxa"/>
            </w:tcMar>
          </w:tcPr>
          <w:p>
            <w:pPr>
              <w:spacing w:after="0" w:before="0"/>
            </w:pPr>
            <w:r>
              <w:rPr>
                <w:b/>
                <w:color w:val="8B3A1C"/>
                <w:sz w:val="19"/>
              </w:rPr>
              <w:t>Geographic Scope</w:t>
            </w:r>
          </w:p>
        </w:tc>
        <w:tc>
          <w:tcPr>
            <w:tcW w:type="dxa" w:w="6192"/>
            <w:shd w:fill="FFFFFF"/>
            <w:tcMar>
              <w:top w:w="80" w:type="dxa"/>
              <w:bottom w:w="80" w:type="dxa"/>
              <w:left w:w="120" w:type="dxa"/>
              <w:right w:w="120" w:type="dxa"/>
            </w:tcMar>
          </w:tcPr>
          <w:p>
            <w:pPr>
              <w:spacing w:after="0" w:before="0"/>
            </w:pPr>
            <w:r>
              <w:rPr>
                <w:color w:val="1A252F"/>
                <w:sz w:val="19"/>
              </w:rPr>
              <w:t>Dandakaranya Macro-Region / Central-Southern India</w:t>
            </w:r>
          </w:p>
        </w:tc>
      </w:tr>
      <w:tr>
        <w:tc>
          <w:tcPr>
            <w:tcW w:type="dxa" w:w="3168"/>
            <w:shd w:fill="FDF8EE"/>
            <w:tcMar>
              <w:top w:w="80" w:type="dxa"/>
              <w:bottom w:w="80" w:type="dxa"/>
              <w:left w:w="120" w:type="dxa"/>
              <w:right w:w="120" w:type="dxa"/>
            </w:tcMar>
          </w:tcPr>
          <w:p>
            <w:pPr>
              <w:spacing w:after="0" w:before="0"/>
            </w:pPr>
            <w:r>
              <w:rPr>
                <w:b/>
                <w:color w:val="8B3A1C"/>
                <w:sz w:val="19"/>
              </w:rPr>
              <w:t>Primary Classification</w:t>
            </w:r>
          </w:p>
        </w:tc>
        <w:tc>
          <w:tcPr>
            <w:tcW w:type="dxa" w:w="6192"/>
            <w:shd w:fill="FFFFFF"/>
            <w:tcMar>
              <w:top w:w="80" w:type="dxa"/>
              <w:bottom w:w="80" w:type="dxa"/>
              <w:left w:w="120" w:type="dxa"/>
              <w:right w:w="120" w:type="dxa"/>
            </w:tcMar>
          </w:tcPr>
          <w:p>
            <w:pPr>
              <w:spacing w:after="0" w:before="0"/>
            </w:pPr>
            <w:r>
              <w:rPr>
                <w:color w:val="1A252F"/>
                <w:sz w:val="19"/>
              </w:rPr>
              <w:t>Macro-History, Historical Geography &amp; Geopolitics</w:t>
            </w:r>
          </w:p>
        </w:tc>
      </w:tr>
      <w:tr>
        <w:tc>
          <w:tcPr>
            <w:tcW w:type="dxa" w:w="3168"/>
            <w:shd w:fill="FDF8EE"/>
            <w:tcMar>
              <w:top w:w="80" w:type="dxa"/>
              <w:bottom w:w="80" w:type="dxa"/>
              <w:left w:w="120" w:type="dxa"/>
              <w:right w:w="120" w:type="dxa"/>
            </w:tcMar>
          </w:tcPr>
          <w:p>
            <w:pPr>
              <w:spacing w:after="0" w:before="0"/>
            </w:pPr>
            <w:r>
              <w:rPr>
                <w:b/>
                <w:color w:val="8B3A1C"/>
                <w:sz w:val="19"/>
              </w:rPr>
              <w:t>Confidence Level</w:t>
            </w:r>
          </w:p>
        </w:tc>
        <w:tc>
          <w:tcPr>
            <w:tcW w:type="dxa" w:w="6192"/>
            <w:shd w:fill="FFFFFF"/>
            <w:tcMar>
              <w:top w:w="80" w:type="dxa"/>
              <w:bottom w:w="80" w:type="dxa"/>
              <w:left w:w="120" w:type="dxa"/>
              <w:right w:w="120" w:type="dxa"/>
            </w:tcMar>
          </w:tcPr>
          <w:p>
            <w:pPr>
              <w:spacing w:after="0" w:before="0"/>
            </w:pPr>
            <w:r>
              <w:rPr>
                <w:color w:val="1A252F"/>
                <w:sz w:val="19"/>
              </w:rPr>
              <w:t>HIGH (Epigraphia Indica, R.C. Majumdar, State Gazetteers)</w:t>
            </w:r>
          </w:p>
        </w:tc>
      </w:tr>
      <w:tr>
        <w:tc>
          <w:tcPr>
            <w:tcW w:type="dxa" w:w="3168"/>
            <w:shd w:fill="FDF8EE"/>
            <w:tcMar>
              <w:top w:w="80" w:type="dxa"/>
              <w:bottom w:w="80" w:type="dxa"/>
              <w:left w:w="120" w:type="dxa"/>
              <w:right w:w="120" w:type="dxa"/>
            </w:tcMar>
          </w:tcPr>
          <w:p>
            <w:pPr>
              <w:spacing w:after="0" w:before="0"/>
            </w:pPr>
            <w:r>
              <w:rPr>
                <w:b/>
                <w:color w:val="8B3A1C"/>
                <w:sz w:val="19"/>
              </w:rPr>
              <w:t>Last Verified Date</w:t>
            </w:r>
          </w:p>
        </w:tc>
        <w:tc>
          <w:tcPr>
            <w:tcW w:type="dxa" w:w="6192"/>
            <w:shd w:fill="FFFFFF"/>
            <w:tcMar>
              <w:top w:w="80" w:type="dxa"/>
              <w:bottom w:w="80" w:type="dxa"/>
              <w:left w:w="120" w:type="dxa"/>
              <w:right w:w="120" w:type="dxa"/>
            </w:tcMar>
          </w:tcPr>
          <w:p>
            <w:pPr>
              <w:spacing w:after="0" w:before="0"/>
            </w:pPr>
            <w:r>
              <w:rPr>
                <w:color w:val="1A252F"/>
                <w:sz w:val="19"/>
              </w:rPr>
              <w:t>2026-09-07</w:t>
            </w:r>
          </w:p>
        </w:tc>
      </w:tr>
    </w:tbl>
    <w:p>
      <w:pPr>
        <w:spacing w:after="240"/>
      </w:pPr>
    </w:p>
    <w:p>
      <w:pPr>
        <w:keepNext/>
        <w:spacing w:before="320" w:after="120"/>
      </w:pPr>
      <w:r>
        <w:rPr>
          <w:rFonts w:ascii="Calibri" w:hAnsi="Calibri"/>
          <w:b/>
          <w:color w:val="8B3A1C"/>
          <w:sz w:val="30"/>
        </w:rPr>
        <w:t>1. Dandakaranya in Early Subcontinental Geopolitics</w:t>
      </w:r>
    </w:p>
    <w:p>
      <w:r>
        <w:t>In ancient epic and Puranic geography, Bastar formed the dense core of 'Dandakaranya', the great southern wilderness crossed by Lord Rama during his exile. Epigraphically, the territory functioned as an impenetrable frontier buffer kingdom between the Northern Deccan empires (Vakatakas, Kalachuris) and the Eastern Peninsular powers (Eastern Chalukyas, Cholas, and Eastern Gangas), maintaining a fierce regional political independence protected by its rugged mountain barriers and malaria-shielded dense Sal forests.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595959"/>
        <w:sz w:val="17"/>
      </w:rPr>
      <w:t>Confidential Academic &amp; Cultural Knowledge Base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Bastar Heritage Research Initiative | Multidisciplinary Digital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52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