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Calibri" w:hAnsi="Calibri"/>
          <w:b/>
          <w:color w:val="8B3A1C"/>
          <w:sz w:val="44"/>
        </w:rPr>
        <w:t>65. Bastar During Colonial Rule</w:t>
      </w:r>
    </w:p>
    <w:p>
      <w:pPr>
        <w:spacing w:before="0" w:after="280"/>
        <w:jc w:val="left"/>
      </w:pPr>
      <w:r>
        <w:rPr>
          <w:rFonts w:ascii="Calibri" w:hAnsi="Calibri"/>
          <w:i/>
          <w:color w:val="2D5A27"/>
          <w:sz w:val="26"/>
        </w:rPr>
        <w:t>British Indirect Rule, Forest Enclosures, Meriah Inquiries &amp; Feudatory Statecraft</w:t>
      </w:r>
    </w:p>
    <w:tbl>
      <w:tblPr>
        <w:tblW w:type="auto" w:w="0"/>
        <w:jc w:val="center"/>
        <w:tblLook w:firstColumn="1" w:firstRow="1" w:lastColumn="0" w:lastRow="0" w:noHBand="0" w:noVBand="1" w:val="04A0"/>
        <w:tblBorders>
          <w:top w:val="single" w:sz="8" w:space="0" w:color="C59B27"/>
          <w:bottom w:val="single" w:sz="8" w:space="0" w:color="C59B27"/>
          <w:insideH w:val="single" w:sz="8" w:space="0" w:color="C59B27"/>
          <w:insideV w:val="none"/>
          <w:left w:val="none"/>
          <w:right w:val="none"/>
        </w:tblBorders>
      </w:tblPr>
      <w:tblGrid>
        <w:gridCol w:w="4680"/>
        <w:gridCol w:w="4680"/>
      </w:tblGrid>
      <w:tr>
        <w:tc>
          <w:tcPr>
            <w:tcW w:type="dxa" w:w="3168"/>
            <w:shd w:fill="FDF8EE"/>
            <w:tcMar>
              <w:top w:w="80" w:type="dxa"/>
              <w:bottom w:w="80" w:type="dxa"/>
              <w:left w:w="120" w:type="dxa"/>
              <w:right w:w="120" w:type="dxa"/>
            </w:tcMar>
          </w:tcPr>
          <w:p>
            <w:pPr>
              <w:spacing w:after="0" w:before="0"/>
            </w:pPr>
            <w:r>
              <w:rPr>
                <w:b/>
                <w:color w:val="8B3A1C"/>
                <w:sz w:val="19"/>
              </w:rPr>
              <w:t>Document ID</w:t>
            </w:r>
          </w:p>
        </w:tc>
        <w:tc>
          <w:tcPr>
            <w:tcW w:type="dxa" w:w="6192"/>
            <w:shd w:fill="FFFFFF"/>
            <w:tcMar>
              <w:top w:w="80" w:type="dxa"/>
              <w:bottom w:w="80" w:type="dxa"/>
              <w:left w:w="120" w:type="dxa"/>
              <w:right w:w="120" w:type="dxa"/>
            </w:tcMar>
          </w:tcPr>
          <w:p>
            <w:pPr>
              <w:spacing w:after="0" w:before="0"/>
            </w:pPr>
            <w:r>
              <w:rPr>
                <w:color w:val="1A252F"/>
                <w:sz w:val="19"/>
              </w:rPr>
              <w:t>BST-DOC-065</w:t>
            </w:r>
          </w:p>
        </w:tc>
      </w:tr>
      <w:tr>
        <w:tc>
          <w:tcPr>
            <w:tcW w:type="dxa" w:w="3168"/>
            <w:shd w:fill="FDF8EE"/>
            <w:tcMar>
              <w:top w:w="80" w:type="dxa"/>
              <w:bottom w:w="80" w:type="dxa"/>
              <w:left w:w="120" w:type="dxa"/>
              <w:right w:w="120" w:type="dxa"/>
            </w:tcMar>
          </w:tcPr>
          <w:p>
            <w:pPr>
              <w:spacing w:after="0" w:before="0"/>
            </w:pPr>
            <w:r>
              <w:rPr>
                <w:b/>
                <w:color w:val="8B3A1C"/>
                <w:sz w:val="19"/>
              </w:rPr>
              <w:t>Geographic Scope</w:t>
            </w:r>
          </w:p>
        </w:tc>
        <w:tc>
          <w:tcPr>
            <w:tcW w:type="dxa" w:w="6192"/>
            <w:shd w:fill="FFFFFF"/>
            <w:tcMar>
              <w:top w:w="80" w:type="dxa"/>
              <w:bottom w:w="80" w:type="dxa"/>
              <w:left w:w="120" w:type="dxa"/>
              <w:right w:w="120" w:type="dxa"/>
            </w:tcMar>
          </w:tcPr>
          <w:p>
            <w:pPr>
              <w:spacing w:after="0" w:before="0"/>
            </w:pPr>
            <w:r>
              <w:rPr>
                <w:color w:val="1A252F"/>
                <w:sz w:val="19"/>
              </w:rPr>
              <w:t>Bastar Feudatory State under Central Provinces &amp; Berar</w:t>
            </w:r>
          </w:p>
        </w:tc>
      </w:tr>
      <w:tr>
        <w:tc>
          <w:tcPr>
            <w:tcW w:type="dxa" w:w="3168"/>
            <w:shd w:fill="FDF8EE"/>
            <w:tcMar>
              <w:top w:w="80" w:type="dxa"/>
              <w:bottom w:w="80" w:type="dxa"/>
              <w:left w:w="120" w:type="dxa"/>
              <w:right w:w="120" w:type="dxa"/>
            </w:tcMar>
          </w:tcPr>
          <w:p>
            <w:pPr>
              <w:spacing w:after="0" w:before="0"/>
            </w:pPr>
            <w:r>
              <w:rPr>
                <w:b/>
                <w:color w:val="8B3A1C"/>
                <w:sz w:val="19"/>
              </w:rPr>
              <w:t>Primary Classification</w:t>
            </w:r>
          </w:p>
        </w:tc>
        <w:tc>
          <w:tcPr>
            <w:tcW w:type="dxa" w:w="6192"/>
            <w:shd w:fill="FFFFFF"/>
            <w:tcMar>
              <w:top w:w="80" w:type="dxa"/>
              <w:bottom w:w="80" w:type="dxa"/>
              <w:left w:w="120" w:type="dxa"/>
              <w:right w:w="120" w:type="dxa"/>
            </w:tcMar>
          </w:tcPr>
          <w:p>
            <w:pPr>
              <w:spacing w:after="0" w:before="0"/>
            </w:pPr>
            <w:r>
              <w:rPr>
                <w:color w:val="1A252F"/>
                <w:sz w:val="19"/>
              </w:rPr>
              <w:t>Colonial History, Imperial Forestry &amp; Subaltern Studies</w:t>
            </w:r>
          </w:p>
        </w:tc>
      </w:tr>
      <w:tr>
        <w:tc>
          <w:tcPr>
            <w:tcW w:type="dxa" w:w="3168"/>
            <w:shd w:fill="FDF8EE"/>
            <w:tcMar>
              <w:top w:w="80" w:type="dxa"/>
              <w:bottom w:w="80" w:type="dxa"/>
              <w:left w:w="120" w:type="dxa"/>
              <w:right w:w="120" w:type="dxa"/>
            </w:tcMar>
          </w:tcPr>
          <w:p>
            <w:pPr>
              <w:spacing w:after="0" w:before="0"/>
            </w:pPr>
            <w:r>
              <w:rPr>
                <w:b/>
                <w:color w:val="8B3A1C"/>
                <w:sz w:val="19"/>
              </w:rPr>
              <w:t>Confidence Level</w:t>
            </w:r>
          </w:p>
        </w:tc>
        <w:tc>
          <w:tcPr>
            <w:tcW w:type="dxa" w:w="6192"/>
            <w:shd w:fill="FFFFFF"/>
            <w:tcMar>
              <w:top w:w="80" w:type="dxa"/>
              <w:bottom w:w="80" w:type="dxa"/>
              <w:left w:w="120" w:type="dxa"/>
              <w:right w:w="120" w:type="dxa"/>
            </w:tcMar>
          </w:tcPr>
          <w:p>
            <w:pPr>
              <w:spacing w:after="0" w:before="0"/>
            </w:pPr>
            <w:r>
              <w:rPr>
                <w:color w:val="1A252F"/>
                <w:sz w:val="19"/>
              </w:rPr>
              <w:t>HIGH (National Archives of India, Central Provinces Administrative Reports)</w:t>
            </w:r>
          </w:p>
        </w:tc>
      </w:tr>
      <w:tr>
        <w:tc>
          <w:tcPr>
            <w:tcW w:type="dxa" w:w="3168"/>
            <w:shd w:fill="FDF8EE"/>
            <w:tcMar>
              <w:top w:w="80" w:type="dxa"/>
              <w:bottom w:w="80" w:type="dxa"/>
              <w:left w:w="120" w:type="dxa"/>
              <w:right w:w="120" w:type="dxa"/>
            </w:tcMar>
          </w:tcPr>
          <w:p>
            <w:pPr>
              <w:spacing w:after="0" w:before="0"/>
            </w:pPr>
            <w:r>
              <w:rPr>
                <w:b/>
                <w:color w:val="8B3A1C"/>
                <w:sz w:val="19"/>
              </w:rPr>
              <w:t>Last Verified Date</w:t>
            </w:r>
          </w:p>
        </w:tc>
        <w:tc>
          <w:tcPr>
            <w:tcW w:type="dxa" w:w="6192"/>
            <w:shd w:fill="FFFFFF"/>
            <w:tcMar>
              <w:top w:w="80" w:type="dxa"/>
              <w:bottom w:w="80" w:type="dxa"/>
              <w:left w:w="120" w:type="dxa"/>
              <w:right w:w="120" w:type="dxa"/>
            </w:tcMar>
          </w:tcPr>
          <w:p>
            <w:pPr>
              <w:spacing w:after="0" w:before="0"/>
            </w:pPr>
            <w:r>
              <w:rPr>
                <w:color w:val="1A252F"/>
                <w:sz w:val="19"/>
              </w:rPr>
              <w:t>2026-09-07</w:t>
            </w:r>
          </w:p>
        </w:tc>
      </w:tr>
    </w:tbl>
    <w:p>
      <w:pPr>
        <w:spacing w:after="240"/>
      </w:pPr>
    </w:p>
    <w:p>
      <w:pPr>
        <w:keepNext/>
        <w:spacing w:before="320" w:after="120"/>
      </w:pPr>
      <w:r>
        <w:rPr>
          <w:rFonts w:ascii="Calibri" w:hAnsi="Calibri"/>
          <w:b/>
          <w:color w:val="8B3A1C"/>
          <w:sz w:val="30"/>
        </w:rPr>
        <w:t>1. British Penetration and Forest Enclosure Policies</w:t>
      </w:r>
    </w:p>
    <w:p>
      <w:r>
        <w:t>Following the lapse of the Nagpur Maratha state to the British East India Company in 1853, Bastar was placed under indirect colonial supervision. The British introduced commercial forestry, reserving vast tracts of Sal and Teak forests for railway sleeper extraction, imposing heavy taxes on forest produce, prohibiting swidden agriculture (Penda), and extracting unpaid forced labor (Begar), triggering widespread indigenous unrest.</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Calibri" w:hAnsi="Calibri"/>
        <w:color w:val="595959"/>
        <w:sz w:val="17"/>
      </w:rPr>
      <w:t>Confidential Academic &amp; Cultural Knowledge Base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Bastar Heritage Research Initiative | Multidisciplinary Digital Archive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25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