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68. Post-Independence Bastar</w:t>
      </w:r>
    </w:p>
    <w:p>
      <w:pPr>
        <w:spacing w:before="0" w:after="280"/>
        <w:jc w:val="left"/>
      </w:pPr>
      <w:r>
        <w:rPr>
          <w:rFonts w:ascii="Calibri" w:hAnsi="Calibri"/>
          <w:i/>
          <w:color w:val="2D5A27"/>
          <w:sz w:val="26"/>
        </w:rPr>
        <w:t>Accession (1948), The Dandakaranya Refugee Project, and Creation of Chhattisgarh</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BST-DOC-068</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Bastar District (Madhya Pradesh / Chhattisgarh Eras)</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Modern Political History &amp; Developmental Geography</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(Ministry of States, Planning Commission of India, Census)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Post-Independence Integration and the Dandakaranya Project</w:t>
      </w:r>
    </w:p>
    <w:p>
      <w:r>
        <w:t>Following the 1948 merger, the Government of India launched the 'Dandakaranya Project' in the 1950s to rehabilitate displaced East Pakistani (Bengali) refugees across Paralkote, Pakhanjore, and Kondagaon tracts. While introducing new agricultural techniques, this massive demographic influx altered local tribal-non-tribal land equations and accelerated forest clearing.</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